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color w:val="000000"/>
          <w:szCs w:val="22"/>
        </w:rPr>
      </w:pPr>
      <w:bookmarkStart w:id="1" w:name="_GoBack"/>
      <w:bookmarkEnd w:id="1"/>
      <w:r>
        <w:rPr>
          <w:b/>
          <w:color w:val="000000"/>
          <w:sz w:val="32"/>
          <w:szCs w:val="32"/>
          <w:lang w:eastAsia="uk-UA"/>
        </w:rPr>
        <w:t>Силабус навчальної дисципліни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br w:type="textWrapping"/>
      </w:r>
      <w:r>
        <w:rPr>
          <w:i/>
          <w:color w:val="000000"/>
          <w:sz w:val="28"/>
          <w:szCs w:val="28"/>
        </w:rPr>
        <w:t>«Барна справа</w:t>
      </w:r>
      <w:r>
        <w:rPr>
          <w:i/>
          <w:color w:val="000000"/>
          <w:sz w:val="28"/>
          <w:szCs w:val="28"/>
          <w:lang w:eastAsia="uk-UA"/>
        </w:rPr>
        <w:t>»</w:t>
      </w:r>
    </w:p>
    <w:p>
      <w:pPr>
        <w:widowControl/>
        <w:spacing w:before="0" w:line="221" w:lineRule="auto"/>
        <w:ind w:firstLine="0"/>
        <w:jc w:val="center"/>
        <w:rPr>
          <w:i/>
          <w:color w:val="000000"/>
          <w:sz w:val="24"/>
          <w:szCs w:val="24"/>
          <w:lang w:eastAsia="uk-UA"/>
        </w:rPr>
      </w:pPr>
    </w:p>
    <w:tbl>
      <w:tblPr>
        <w:tblStyle w:val="6"/>
        <w:tblW w:w="9995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  <w:gridCol w:w="594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181</w:t>
            </w:r>
            <w:r>
              <w:rPr>
                <w:rFonts w:hint="default"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lang w:val="uk-UA"/>
              </w:rPr>
              <w:t>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Освітня програма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Вибіркова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Мова викладання, навчання та оцінювання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Курс / семестр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4 курс, 8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5 </w:t>
            </w:r>
            <w:r>
              <w:rPr>
                <w:i/>
                <w:sz w:val="24"/>
                <w:szCs w:val="24"/>
              </w:rPr>
              <w:t>кредитів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Лекції –24 год.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36" w:hRule="atLeast"/>
        </w:trPr>
        <w:tc>
          <w:tcPr>
            <w:tcW w:w="404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Практичні (семінарські) – 24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36" w:hRule="atLeast"/>
        </w:trPr>
        <w:tc>
          <w:tcPr>
            <w:tcW w:w="404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Самостійна робота – 102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Форма семестрового контролю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90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t xml:space="preserve">сайт кафедри: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16"/>
                <w:rFonts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87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Викладач (-і)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37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Контактна інформація викладача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(-ів)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+3806</w:t>
            </w:r>
            <w:r>
              <w:rPr>
                <w:i/>
                <w:sz w:val="24"/>
                <w:szCs w:val="24"/>
                <w:lang w:val="en-US"/>
              </w:rPr>
              <w:t>37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63488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53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Дні навчальних занять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rStyle w:val="16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Лекції: </w:t>
            </w:r>
            <w:r>
              <w:fldChar w:fldCharType="begin"/>
            </w:r>
            <w:r>
              <w:instrText xml:space="preserve">HYPERLINK "http://rozklad.hneu.edu.ua/schedule/schedule?employee=425879"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згідно</w:t>
            </w:r>
            <w:r>
              <w:fldChar w:fldCharType="end"/>
            </w:r>
            <w:r>
              <w:rPr>
                <w:rStyle w:val="16"/>
                <w:i/>
                <w:sz w:val="24"/>
                <w:szCs w:val="24"/>
              </w:rPr>
              <w:t xml:space="preserve"> діючого розкладу занять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HYPERLINK "http://rozklad.hneu.edu.ua/schedule/schedule?employee=425879"</w:instrText>
            </w:r>
            <w:r>
              <w:fldChar w:fldCharType="separate"/>
            </w:r>
            <w:r>
              <w:rPr>
                <w:rStyle w:val="16"/>
                <w:i/>
                <w:sz w:val="24"/>
                <w:szCs w:val="24"/>
              </w:rPr>
              <w:t>з</w:t>
            </w:r>
            <w:bookmarkStart w:id="0" w:name="_Hlt159438872"/>
            <w:r>
              <w:rPr>
                <w:rStyle w:val="16"/>
                <w:i/>
                <w:sz w:val="24"/>
                <w:szCs w:val="24"/>
              </w:rPr>
              <w:t>г</w:t>
            </w:r>
            <w:bookmarkEnd w:id="0"/>
            <w:r>
              <w:rPr>
                <w:rStyle w:val="16"/>
                <w:i/>
                <w:sz w:val="24"/>
                <w:szCs w:val="24"/>
              </w:rPr>
              <w:t>ідно</w:t>
            </w:r>
            <w:r>
              <w:fldChar w:fldCharType="end"/>
            </w:r>
            <w:r>
              <w:rPr>
                <w:rStyle w:val="16"/>
                <w:i/>
                <w:sz w:val="24"/>
                <w:szCs w:val="24"/>
              </w:rPr>
              <w:t xml:space="preserve"> діючого розкладу занять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25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Консультації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66" w:leftChars="30" w:right="66" w:rightChars="30"/>
              <w:jc w:val="both"/>
              <w:textAlignment w:val="auto"/>
              <w:rPr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  <w:r>
              <w:rPr>
                <w:rStyle w:val="41"/>
                <w:i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7" w:hRule="atLeast"/>
        </w:trPr>
        <w:tc>
          <w:tcPr>
            <w:tcW w:w="99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 </w:t>
            </w:r>
            <w:r>
              <w:rPr>
                <w:sz w:val="24"/>
                <w:szCs w:val="24"/>
              </w:rPr>
              <w:t>– формування у здобувачів системного мислення й комплексу знань та навичок стосовно організації роботи та обслуговування споживачів у барах, побудови концепції закладу, організації роботи бармена; культури споживання алкогольних напоїв.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7" w:hRule="atLeast"/>
        </w:trPr>
        <w:tc>
          <w:tcPr>
            <w:tcW w:w="99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97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5137"/>
            </w:tblGrid>
            <w:tr>
              <w:trPr>
                <w:wBefore w:w="0" w:type="dxa"/>
                <w:wAfter w:w="0" w:type="dxa"/>
                <w:trHeight w:val="316" w:hRule="atLeast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  <w:tc>
                <w:tcPr>
                  <w:tcW w:w="5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</w:tc>
              <w:tc>
                <w:tcPr>
                  <w:tcW w:w="5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Товарознавство</w:t>
                  </w:r>
                </w:p>
              </w:tc>
              <w:tc>
                <w:tcPr>
                  <w:tcW w:w="5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2470" w:hRule="atLeast"/>
        </w:trPr>
        <w:tc>
          <w:tcPr>
            <w:tcW w:w="99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center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Змістовий модуль 1. </w:t>
            </w:r>
            <w:r>
              <w:rPr>
                <w:i/>
                <w:sz w:val="24"/>
                <w:szCs w:val="24"/>
                <w:lang w:eastAsia="uk-UA"/>
              </w:rPr>
              <w:t>М</w:t>
            </w:r>
            <w:r>
              <w:rPr>
                <w:i/>
                <w:sz w:val="24"/>
                <w:szCs w:val="24"/>
              </w:rPr>
              <w:t>атеріально-технічне забезпечення барів.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Особливості організації роботи і функціонування барів. Концепція бару.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Обладнання барів.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Барний посуд: асортимент, призначення, тренди.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Вимоги до персоналу бару. 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Торговельно-виробнича діяльність винного, десертного і коктейль-бару.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 Торговельно-виробнича діяльність пивних і гриль-барів.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i/>
                <w:lang w:val="uk-UA" w:eastAsia="en-US"/>
              </w:rPr>
            </w:pPr>
            <w:r>
              <w:rPr>
                <w:b/>
                <w:lang w:val="uk-UA" w:eastAsia="uk-UA"/>
              </w:rPr>
              <w:t>Змістовий модуль 2</w:t>
            </w:r>
            <w:r>
              <w:rPr>
                <w:b/>
                <w:i/>
                <w:lang w:val="uk-UA" w:eastAsia="uk-UA"/>
              </w:rPr>
              <w:t>.</w:t>
            </w:r>
            <w:r>
              <w:rPr>
                <w:b/>
                <w:lang w:val="uk-UA" w:eastAsia="uk-UA"/>
              </w:rPr>
              <w:t xml:space="preserve"> </w:t>
            </w:r>
            <w:r>
              <w:rPr>
                <w:i/>
                <w:lang w:val="uk-UA" w:eastAsia="uk-UA"/>
              </w:rPr>
              <w:t>Основи барної справи.</w:t>
            </w:r>
            <w:r>
              <w:rPr>
                <w:lang w:val="uk-UA" w:eastAsia="en-US"/>
              </w:rPr>
              <w:t xml:space="preserve"> </w:t>
            </w:r>
            <w:r>
              <w:rPr>
                <w:i/>
                <w:lang w:val="uk-UA" w:eastAsia="en-US"/>
              </w:rPr>
              <w:t>Напої в барах, їх призначення і класифікація.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 6. Класифікація напоїв, їх характеристика. Асортимент і характеристика алкогольних та безалкогольних напоїв.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7. Міцні алкогольні напої на основі пшениці та ячменю. Віскі. Горілка. 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Міцні алкогольні напої на основі винограду. Коньяк. Арманьяк. Бренді та інші національні напої.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Тема 9. Характеристика та класифікація вин. 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 10. Класифікація та способи приготування змішаних напоїв.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 11. Організація роботи бармена: імідж, особливості, заборони.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 12. Обслуговування гостей напоями та культура споживання алкогольних напоїв.</w:t>
            </w:r>
          </w:p>
          <w:tbl>
            <w:tblPr>
              <w:tblStyle w:val="6"/>
              <w:tblW w:w="9741" w:type="dxa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41"/>
            </w:tblGrid>
            <w:tr>
              <w:trPr>
                <w:wBefore w:w="0" w:type="dxa"/>
                <w:wAfter w:w="0" w:type="dxa"/>
                <w:trHeight w:val="853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0"/>
                    <w:jc w:val="center"/>
                    <w:textAlignment w:val="auto"/>
                    <w:rPr>
                      <w:b/>
                      <w:sz w:val="12"/>
                      <w:szCs w:val="12"/>
                      <w:lang w:eastAsia="uk-UA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0"/>
                    <w:jc w:val="center"/>
                    <w:textAlignment w:val="auto"/>
                    <w:rPr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Матеріально-технічне (програмне)</w:t>
                  </w:r>
                  <w:r>
                    <w:rPr>
                      <w:rFonts w:ascii="Calibri" w:hAnsi="Calibri" w:cs="Arial"/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uk-UA"/>
                    </w:rPr>
                    <w:t xml:space="preserve">забезпечення дисципліни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/>
                    <w:textAlignment w:val="auto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Мультимедійний проектор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, ПНС ХНЕУ ім.С.Кузнеця,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ZOOM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377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/>
                    <w:jc w:val="center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Форми та методи оцінювання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374" w:firstLineChars="0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Університет використовує 100 бальну накопичувальну систему оцінювання результатів навчання здобувачів вищої освіти.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374" w:firstLineChars="0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374" w:firstLineChars="0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Підсумковий контроль включає семестровий контроль, який проводиться у формі екзамену (іспиту).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374" w:firstLineChars="0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374" w:firstLineChars="0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Поточний контроль включає наступні контрольні заходи: завдання за темами; поточні контрольні роботи; презентації за темами та написання есе. </w:t>
                  </w:r>
                </w:p>
                <w:p>
                  <w:pPr>
                    <w:pStyle w:val="4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6" w:leftChars="30" w:right="66" w:rightChars="30" w:firstLine="374" w:firstLineChars="0"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      </w:r>
                </w:p>
                <w:p>
                  <w:pPr>
                    <w:pStyle w:val="31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6" w:leftChars="30" w:right="66" w:rightChars="30" w:firstLine="0"/>
                    <w:jc w:val="both"/>
                    <w:textAlignment w:val="auto"/>
                    <w:rPr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      </w:r>
                </w:p>
              </w:tc>
            </w:tr>
            <w:tr>
              <w:trPr>
                <w:wBefore w:w="0" w:type="dxa"/>
                <w:wAfter w:w="0" w:type="dxa"/>
                <w:trHeight w:val="61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jc w:val="center"/>
                    <w:textAlignment w:val="auto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Політики навчальної дисципліни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iCs/>
                      <w:sz w:val="24"/>
                      <w:szCs w:val="24"/>
                      <w:lang w:eastAsia="uk-UA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202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b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eastAsia="uk-UA"/>
                    </w:rPr>
      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дисципліни. 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lang w:val="uk-UA" w:eastAsia="en-US"/>
              </w:rPr>
            </w:pPr>
          </w:p>
        </w:tc>
      </w:tr>
    </w:tbl>
    <w:p>
      <w:pPr>
        <w:widowControl/>
        <w:spacing w:before="0" w:line="221" w:lineRule="auto"/>
        <w:ind w:firstLine="0"/>
        <w:jc w:val="right"/>
        <w:rPr>
          <w:lang w:eastAsia="uk-UA"/>
        </w:rPr>
      </w:pPr>
    </w:p>
    <w:sectPr>
      <w:headerReference r:id="rId4" w:type="default"/>
      <w:pgSz w:w="11906" w:h="16838"/>
      <w:pgMar w:top="1134" w:right="851" w:bottom="1134" w:left="1418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CenturyGothic">
    <w:altName w:val="苹方-简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0"/>
      <w:ind w:firstLine="1134"/>
      <w:jc w:val="left"/>
      <w:rPr>
        <w:i/>
        <w:sz w:val="24"/>
        <w:szCs w:val="28"/>
        <w:lang w:eastAsia="uk-UA"/>
      </w:rPr>
    </w:pPr>
    <w:r>
      <w:rPr>
        <w:i/>
        <w:sz w:val="24"/>
        <w:szCs w:val="28"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597535" cy="519430"/>
          <wp:effectExtent l="0" t="0" r="0" b="1460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l="7481" t="10722" r="6168" b="8679"/>
                  <a:stretch>
                    <a:fillRect/>
                  </a:stretch>
                </pic:blipFill>
                <pic:spPr>
                  <a:xfrm>
                    <a:off x="0" y="0"/>
                    <a:ext cx="59753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widowControl/>
      <w:spacing w:before="0"/>
      <w:ind w:left="1100" w:leftChars="500" w:firstLine="0" w:firstLineChars="0"/>
      <w:jc w:val="left"/>
      <w:rPr>
        <w:rFonts w:ascii="Calibri" w:hAnsi="Calibri" w:cs="Arial"/>
        <w:sz w:val="20"/>
        <w:lang w:eastAsia="uk-UA"/>
      </w:rPr>
    </w:pPr>
    <w:r>
      <w:rPr>
        <w:i/>
        <w:sz w:val="24"/>
        <w:szCs w:val="28"/>
        <w:lang w:eastAsia="uk-UA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isplayHorizontalDrawingGridEvery w:val="1"/>
  <w:displayVerticalDrawingGridEvery w:val="1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377D"/>
    <w:rsid w:val="0000491A"/>
    <w:rsid w:val="00005799"/>
    <w:rsid w:val="0000727A"/>
    <w:rsid w:val="0000783A"/>
    <w:rsid w:val="00007DB3"/>
    <w:rsid w:val="00013B13"/>
    <w:rsid w:val="00013E4F"/>
    <w:rsid w:val="0001424A"/>
    <w:rsid w:val="00016F33"/>
    <w:rsid w:val="00026320"/>
    <w:rsid w:val="00034C7F"/>
    <w:rsid w:val="00040268"/>
    <w:rsid w:val="00043A34"/>
    <w:rsid w:val="00046312"/>
    <w:rsid w:val="00046991"/>
    <w:rsid w:val="0005048D"/>
    <w:rsid w:val="00053CC7"/>
    <w:rsid w:val="00055274"/>
    <w:rsid w:val="0006034B"/>
    <w:rsid w:val="00060C79"/>
    <w:rsid w:val="00062912"/>
    <w:rsid w:val="00067A5E"/>
    <w:rsid w:val="0007183D"/>
    <w:rsid w:val="00075F25"/>
    <w:rsid w:val="00084EBB"/>
    <w:rsid w:val="0008558D"/>
    <w:rsid w:val="00090AB8"/>
    <w:rsid w:val="000911B3"/>
    <w:rsid w:val="00092B79"/>
    <w:rsid w:val="00094CAF"/>
    <w:rsid w:val="000963FC"/>
    <w:rsid w:val="00096CD3"/>
    <w:rsid w:val="0009704F"/>
    <w:rsid w:val="00097A30"/>
    <w:rsid w:val="000A3246"/>
    <w:rsid w:val="000A44D6"/>
    <w:rsid w:val="000A7CA2"/>
    <w:rsid w:val="000B58A6"/>
    <w:rsid w:val="000B72A6"/>
    <w:rsid w:val="000C08A3"/>
    <w:rsid w:val="000C53A7"/>
    <w:rsid w:val="000D1CAE"/>
    <w:rsid w:val="000D5C36"/>
    <w:rsid w:val="000E4370"/>
    <w:rsid w:val="000F0183"/>
    <w:rsid w:val="000F01E0"/>
    <w:rsid w:val="000F112D"/>
    <w:rsid w:val="000F416A"/>
    <w:rsid w:val="000F472F"/>
    <w:rsid w:val="000F6C22"/>
    <w:rsid w:val="00101EF3"/>
    <w:rsid w:val="00104495"/>
    <w:rsid w:val="00106016"/>
    <w:rsid w:val="00132A33"/>
    <w:rsid w:val="00133CFB"/>
    <w:rsid w:val="00135D21"/>
    <w:rsid w:val="00142A30"/>
    <w:rsid w:val="001456DE"/>
    <w:rsid w:val="0014658C"/>
    <w:rsid w:val="001511E2"/>
    <w:rsid w:val="001532D4"/>
    <w:rsid w:val="00156D29"/>
    <w:rsid w:val="0015719A"/>
    <w:rsid w:val="00160FB9"/>
    <w:rsid w:val="00170E27"/>
    <w:rsid w:val="0017197C"/>
    <w:rsid w:val="001743ED"/>
    <w:rsid w:val="001776E4"/>
    <w:rsid w:val="00185C13"/>
    <w:rsid w:val="00191E4A"/>
    <w:rsid w:val="00195DDB"/>
    <w:rsid w:val="00197292"/>
    <w:rsid w:val="001A4817"/>
    <w:rsid w:val="001A7F95"/>
    <w:rsid w:val="001B1FA9"/>
    <w:rsid w:val="001B7B92"/>
    <w:rsid w:val="001C3F1C"/>
    <w:rsid w:val="001C6498"/>
    <w:rsid w:val="001D01AB"/>
    <w:rsid w:val="001D3598"/>
    <w:rsid w:val="001D3D9A"/>
    <w:rsid w:val="001E1C2A"/>
    <w:rsid w:val="001E3937"/>
    <w:rsid w:val="001E5086"/>
    <w:rsid w:val="001E6439"/>
    <w:rsid w:val="001E6DC0"/>
    <w:rsid w:val="001E7CCF"/>
    <w:rsid w:val="001F3875"/>
    <w:rsid w:val="001F3E34"/>
    <w:rsid w:val="001F6D35"/>
    <w:rsid w:val="00201BFC"/>
    <w:rsid w:val="00207C07"/>
    <w:rsid w:val="00216D65"/>
    <w:rsid w:val="00223E49"/>
    <w:rsid w:val="0022470A"/>
    <w:rsid w:val="002311BE"/>
    <w:rsid w:val="00232232"/>
    <w:rsid w:val="00233F7C"/>
    <w:rsid w:val="00236647"/>
    <w:rsid w:val="00237FDC"/>
    <w:rsid w:val="00242C77"/>
    <w:rsid w:val="00246369"/>
    <w:rsid w:val="002511F1"/>
    <w:rsid w:val="00252FF5"/>
    <w:rsid w:val="00257FC2"/>
    <w:rsid w:val="00262636"/>
    <w:rsid w:val="0026408B"/>
    <w:rsid w:val="0026415D"/>
    <w:rsid w:val="0026707D"/>
    <w:rsid w:val="00272D64"/>
    <w:rsid w:val="00276855"/>
    <w:rsid w:val="0027710C"/>
    <w:rsid w:val="0028205D"/>
    <w:rsid w:val="00285A82"/>
    <w:rsid w:val="00286699"/>
    <w:rsid w:val="0029061B"/>
    <w:rsid w:val="002938FB"/>
    <w:rsid w:val="0029660A"/>
    <w:rsid w:val="00297442"/>
    <w:rsid w:val="002A7F23"/>
    <w:rsid w:val="002B53B2"/>
    <w:rsid w:val="002C0A5B"/>
    <w:rsid w:val="002C0DE3"/>
    <w:rsid w:val="002D2A66"/>
    <w:rsid w:val="002D4E9A"/>
    <w:rsid w:val="002D69F8"/>
    <w:rsid w:val="002F1F50"/>
    <w:rsid w:val="002F3AA3"/>
    <w:rsid w:val="002F441D"/>
    <w:rsid w:val="002F77FA"/>
    <w:rsid w:val="00300458"/>
    <w:rsid w:val="0030096E"/>
    <w:rsid w:val="00314D1D"/>
    <w:rsid w:val="00316B7F"/>
    <w:rsid w:val="003219D5"/>
    <w:rsid w:val="00321E61"/>
    <w:rsid w:val="003222B8"/>
    <w:rsid w:val="0032575F"/>
    <w:rsid w:val="00327738"/>
    <w:rsid w:val="0033711C"/>
    <w:rsid w:val="00340B1C"/>
    <w:rsid w:val="00353571"/>
    <w:rsid w:val="00362A9B"/>
    <w:rsid w:val="00363A3A"/>
    <w:rsid w:val="003746D6"/>
    <w:rsid w:val="00381BC3"/>
    <w:rsid w:val="00382216"/>
    <w:rsid w:val="00382488"/>
    <w:rsid w:val="003851DF"/>
    <w:rsid w:val="003855EE"/>
    <w:rsid w:val="0038765F"/>
    <w:rsid w:val="00387C89"/>
    <w:rsid w:val="003A26C1"/>
    <w:rsid w:val="003A3901"/>
    <w:rsid w:val="003A4C37"/>
    <w:rsid w:val="003B0FBA"/>
    <w:rsid w:val="003B6A52"/>
    <w:rsid w:val="003B739E"/>
    <w:rsid w:val="003C0980"/>
    <w:rsid w:val="003C6A4E"/>
    <w:rsid w:val="003C7A06"/>
    <w:rsid w:val="003D7EB9"/>
    <w:rsid w:val="003E00F6"/>
    <w:rsid w:val="003E5ADB"/>
    <w:rsid w:val="003E79CA"/>
    <w:rsid w:val="003F5B18"/>
    <w:rsid w:val="003F7885"/>
    <w:rsid w:val="00403776"/>
    <w:rsid w:val="00403FA6"/>
    <w:rsid w:val="00411AD0"/>
    <w:rsid w:val="0041202A"/>
    <w:rsid w:val="00416933"/>
    <w:rsid w:val="00420AEB"/>
    <w:rsid w:val="004241BF"/>
    <w:rsid w:val="00424498"/>
    <w:rsid w:val="0042587E"/>
    <w:rsid w:val="00425BAC"/>
    <w:rsid w:val="00427584"/>
    <w:rsid w:val="004309C8"/>
    <w:rsid w:val="00445E23"/>
    <w:rsid w:val="00450793"/>
    <w:rsid w:val="00452B38"/>
    <w:rsid w:val="004565B2"/>
    <w:rsid w:val="00460CA0"/>
    <w:rsid w:val="0047053A"/>
    <w:rsid w:val="004802BF"/>
    <w:rsid w:val="00483728"/>
    <w:rsid w:val="0048606D"/>
    <w:rsid w:val="00495FEF"/>
    <w:rsid w:val="004966C1"/>
    <w:rsid w:val="004A0016"/>
    <w:rsid w:val="004A14AC"/>
    <w:rsid w:val="004B1D5C"/>
    <w:rsid w:val="004B32DF"/>
    <w:rsid w:val="004B3D7E"/>
    <w:rsid w:val="004B5B71"/>
    <w:rsid w:val="004D1D66"/>
    <w:rsid w:val="004D60FF"/>
    <w:rsid w:val="004D7489"/>
    <w:rsid w:val="004E0DA1"/>
    <w:rsid w:val="004E2E95"/>
    <w:rsid w:val="004E5D54"/>
    <w:rsid w:val="004E735A"/>
    <w:rsid w:val="004F237A"/>
    <w:rsid w:val="004F39AA"/>
    <w:rsid w:val="004F3EBE"/>
    <w:rsid w:val="004F7F5E"/>
    <w:rsid w:val="005000C3"/>
    <w:rsid w:val="005021A9"/>
    <w:rsid w:val="005061CC"/>
    <w:rsid w:val="00510B1E"/>
    <w:rsid w:val="005145A1"/>
    <w:rsid w:val="00517139"/>
    <w:rsid w:val="00523963"/>
    <w:rsid w:val="00523EAC"/>
    <w:rsid w:val="00541FB5"/>
    <w:rsid w:val="00542458"/>
    <w:rsid w:val="00542690"/>
    <w:rsid w:val="00544FC8"/>
    <w:rsid w:val="00545D9A"/>
    <w:rsid w:val="00547369"/>
    <w:rsid w:val="0055160E"/>
    <w:rsid w:val="005519F1"/>
    <w:rsid w:val="00552BEB"/>
    <w:rsid w:val="005654D7"/>
    <w:rsid w:val="00565796"/>
    <w:rsid w:val="00565BB6"/>
    <w:rsid w:val="00566663"/>
    <w:rsid w:val="0057090B"/>
    <w:rsid w:val="00573608"/>
    <w:rsid w:val="00583FB6"/>
    <w:rsid w:val="00592D2F"/>
    <w:rsid w:val="005A4A51"/>
    <w:rsid w:val="005A5766"/>
    <w:rsid w:val="005B4AD2"/>
    <w:rsid w:val="005B4E0A"/>
    <w:rsid w:val="005B556C"/>
    <w:rsid w:val="005B76FB"/>
    <w:rsid w:val="005C59A5"/>
    <w:rsid w:val="005C64EA"/>
    <w:rsid w:val="005C7416"/>
    <w:rsid w:val="005C7A5E"/>
    <w:rsid w:val="005D596E"/>
    <w:rsid w:val="005D6943"/>
    <w:rsid w:val="005E380E"/>
    <w:rsid w:val="005E439F"/>
    <w:rsid w:val="005E7681"/>
    <w:rsid w:val="005F1F9D"/>
    <w:rsid w:val="005F4A28"/>
    <w:rsid w:val="005F6A0B"/>
    <w:rsid w:val="00600EEA"/>
    <w:rsid w:val="00603907"/>
    <w:rsid w:val="0061762A"/>
    <w:rsid w:val="0062213F"/>
    <w:rsid w:val="00623F1D"/>
    <w:rsid w:val="00624C5F"/>
    <w:rsid w:val="00626486"/>
    <w:rsid w:val="006365AF"/>
    <w:rsid w:val="00636F2F"/>
    <w:rsid w:val="006379C2"/>
    <w:rsid w:val="00642563"/>
    <w:rsid w:val="00642A66"/>
    <w:rsid w:val="00643A55"/>
    <w:rsid w:val="0065213C"/>
    <w:rsid w:val="006618E7"/>
    <w:rsid w:val="00662EF6"/>
    <w:rsid w:val="006701B3"/>
    <w:rsid w:val="0067245B"/>
    <w:rsid w:val="00673E4A"/>
    <w:rsid w:val="00676F45"/>
    <w:rsid w:val="00677116"/>
    <w:rsid w:val="0068236B"/>
    <w:rsid w:val="00687DB3"/>
    <w:rsid w:val="00691DCC"/>
    <w:rsid w:val="00691E32"/>
    <w:rsid w:val="00691FE0"/>
    <w:rsid w:val="00696F6B"/>
    <w:rsid w:val="0069753C"/>
    <w:rsid w:val="006A2638"/>
    <w:rsid w:val="006A3894"/>
    <w:rsid w:val="006A4FB8"/>
    <w:rsid w:val="006A5009"/>
    <w:rsid w:val="006A5BF2"/>
    <w:rsid w:val="006B0D61"/>
    <w:rsid w:val="006B13F3"/>
    <w:rsid w:val="006B3778"/>
    <w:rsid w:val="006B593A"/>
    <w:rsid w:val="006C14BC"/>
    <w:rsid w:val="006C5653"/>
    <w:rsid w:val="006D246E"/>
    <w:rsid w:val="006D639B"/>
    <w:rsid w:val="006E75C4"/>
    <w:rsid w:val="006F20BC"/>
    <w:rsid w:val="00707C5D"/>
    <w:rsid w:val="00716265"/>
    <w:rsid w:val="0071650F"/>
    <w:rsid w:val="00717596"/>
    <w:rsid w:val="0072156A"/>
    <w:rsid w:val="00721A13"/>
    <w:rsid w:val="0072709F"/>
    <w:rsid w:val="00727CCA"/>
    <w:rsid w:val="007359BB"/>
    <w:rsid w:val="00735B54"/>
    <w:rsid w:val="00736381"/>
    <w:rsid w:val="007445D1"/>
    <w:rsid w:val="00745707"/>
    <w:rsid w:val="00746AF3"/>
    <w:rsid w:val="00753F09"/>
    <w:rsid w:val="007548C8"/>
    <w:rsid w:val="00763993"/>
    <w:rsid w:val="00763C84"/>
    <w:rsid w:val="00763FA8"/>
    <w:rsid w:val="00764093"/>
    <w:rsid w:val="007712DF"/>
    <w:rsid w:val="00776851"/>
    <w:rsid w:val="00780C4A"/>
    <w:rsid w:val="00783810"/>
    <w:rsid w:val="00791970"/>
    <w:rsid w:val="00792D6D"/>
    <w:rsid w:val="007934B4"/>
    <w:rsid w:val="007A04E7"/>
    <w:rsid w:val="007A36B9"/>
    <w:rsid w:val="007A66D4"/>
    <w:rsid w:val="007A77C0"/>
    <w:rsid w:val="007B1AAF"/>
    <w:rsid w:val="007B5049"/>
    <w:rsid w:val="007C1A73"/>
    <w:rsid w:val="007C5EFF"/>
    <w:rsid w:val="007C7766"/>
    <w:rsid w:val="007D200E"/>
    <w:rsid w:val="007D22C1"/>
    <w:rsid w:val="007D3DC0"/>
    <w:rsid w:val="007E000B"/>
    <w:rsid w:val="007E0D0F"/>
    <w:rsid w:val="007E300A"/>
    <w:rsid w:val="007E3306"/>
    <w:rsid w:val="007E60BC"/>
    <w:rsid w:val="007F23FC"/>
    <w:rsid w:val="007F51B6"/>
    <w:rsid w:val="007F7065"/>
    <w:rsid w:val="00802EEF"/>
    <w:rsid w:val="00803998"/>
    <w:rsid w:val="00804B86"/>
    <w:rsid w:val="00807BD8"/>
    <w:rsid w:val="00815B95"/>
    <w:rsid w:val="00821A37"/>
    <w:rsid w:val="008276BC"/>
    <w:rsid w:val="008325B9"/>
    <w:rsid w:val="00832E44"/>
    <w:rsid w:val="0084026D"/>
    <w:rsid w:val="00844BFD"/>
    <w:rsid w:val="00855C9D"/>
    <w:rsid w:val="0086054E"/>
    <w:rsid w:val="00860742"/>
    <w:rsid w:val="008633D7"/>
    <w:rsid w:val="00864245"/>
    <w:rsid w:val="00865C4C"/>
    <w:rsid w:val="00865DC9"/>
    <w:rsid w:val="00866D79"/>
    <w:rsid w:val="00871228"/>
    <w:rsid w:val="008720BE"/>
    <w:rsid w:val="0088031C"/>
    <w:rsid w:val="008872E8"/>
    <w:rsid w:val="0089259A"/>
    <w:rsid w:val="00894580"/>
    <w:rsid w:val="008A4144"/>
    <w:rsid w:val="008A5136"/>
    <w:rsid w:val="008A5757"/>
    <w:rsid w:val="008A6E01"/>
    <w:rsid w:val="008A7C38"/>
    <w:rsid w:val="008B3E2D"/>
    <w:rsid w:val="008C2857"/>
    <w:rsid w:val="008C311C"/>
    <w:rsid w:val="008C533E"/>
    <w:rsid w:val="008E4DA1"/>
    <w:rsid w:val="00900B47"/>
    <w:rsid w:val="00901009"/>
    <w:rsid w:val="00906196"/>
    <w:rsid w:val="00915758"/>
    <w:rsid w:val="00921064"/>
    <w:rsid w:val="00921AA6"/>
    <w:rsid w:val="00924749"/>
    <w:rsid w:val="009264F7"/>
    <w:rsid w:val="00931995"/>
    <w:rsid w:val="0094241C"/>
    <w:rsid w:val="00943BBF"/>
    <w:rsid w:val="0094435C"/>
    <w:rsid w:val="00947E77"/>
    <w:rsid w:val="00951BF6"/>
    <w:rsid w:val="00954915"/>
    <w:rsid w:val="009563A8"/>
    <w:rsid w:val="00957071"/>
    <w:rsid w:val="00963A73"/>
    <w:rsid w:val="00963A9C"/>
    <w:rsid w:val="00970DF3"/>
    <w:rsid w:val="00975562"/>
    <w:rsid w:val="00975EBD"/>
    <w:rsid w:val="0098192A"/>
    <w:rsid w:val="00990507"/>
    <w:rsid w:val="00992E87"/>
    <w:rsid w:val="00997DDE"/>
    <w:rsid w:val="009A0324"/>
    <w:rsid w:val="009B10E2"/>
    <w:rsid w:val="009B1549"/>
    <w:rsid w:val="009B3BDC"/>
    <w:rsid w:val="009B5836"/>
    <w:rsid w:val="009B74AA"/>
    <w:rsid w:val="009C0E50"/>
    <w:rsid w:val="009C15F1"/>
    <w:rsid w:val="009D14D3"/>
    <w:rsid w:val="009D4775"/>
    <w:rsid w:val="009D5F54"/>
    <w:rsid w:val="009D6307"/>
    <w:rsid w:val="009E4958"/>
    <w:rsid w:val="009E6F10"/>
    <w:rsid w:val="009E76AD"/>
    <w:rsid w:val="009F4942"/>
    <w:rsid w:val="009F54FB"/>
    <w:rsid w:val="009F6D37"/>
    <w:rsid w:val="00A0030C"/>
    <w:rsid w:val="00A04C96"/>
    <w:rsid w:val="00A1271F"/>
    <w:rsid w:val="00A2009B"/>
    <w:rsid w:val="00A27B05"/>
    <w:rsid w:val="00A30085"/>
    <w:rsid w:val="00A321BD"/>
    <w:rsid w:val="00A35546"/>
    <w:rsid w:val="00A3580B"/>
    <w:rsid w:val="00A37244"/>
    <w:rsid w:val="00A40D8B"/>
    <w:rsid w:val="00A4777D"/>
    <w:rsid w:val="00A625C5"/>
    <w:rsid w:val="00A66D70"/>
    <w:rsid w:val="00A72268"/>
    <w:rsid w:val="00A74BE7"/>
    <w:rsid w:val="00A8423F"/>
    <w:rsid w:val="00A84B50"/>
    <w:rsid w:val="00A87D20"/>
    <w:rsid w:val="00A9067F"/>
    <w:rsid w:val="00AA3C0C"/>
    <w:rsid w:val="00AA3E87"/>
    <w:rsid w:val="00AB0905"/>
    <w:rsid w:val="00AB2516"/>
    <w:rsid w:val="00AB5774"/>
    <w:rsid w:val="00AB5C27"/>
    <w:rsid w:val="00AB6416"/>
    <w:rsid w:val="00AB6AA9"/>
    <w:rsid w:val="00AB760A"/>
    <w:rsid w:val="00AC198A"/>
    <w:rsid w:val="00AC4D4B"/>
    <w:rsid w:val="00AC60D3"/>
    <w:rsid w:val="00AE0570"/>
    <w:rsid w:val="00AE13E1"/>
    <w:rsid w:val="00AE1850"/>
    <w:rsid w:val="00AF07C1"/>
    <w:rsid w:val="00AF4FD3"/>
    <w:rsid w:val="00AF7755"/>
    <w:rsid w:val="00B004E8"/>
    <w:rsid w:val="00B04717"/>
    <w:rsid w:val="00B10926"/>
    <w:rsid w:val="00B12C71"/>
    <w:rsid w:val="00B17381"/>
    <w:rsid w:val="00B30046"/>
    <w:rsid w:val="00B375F7"/>
    <w:rsid w:val="00B4188C"/>
    <w:rsid w:val="00B549F4"/>
    <w:rsid w:val="00B57D64"/>
    <w:rsid w:val="00B64071"/>
    <w:rsid w:val="00B66435"/>
    <w:rsid w:val="00B72914"/>
    <w:rsid w:val="00B76A51"/>
    <w:rsid w:val="00B81BF9"/>
    <w:rsid w:val="00B869B4"/>
    <w:rsid w:val="00B8701E"/>
    <w:rsid w:val="00B871C5"/>
    <w:rsid w:val="00B87410"/>
    <w:rsid w:val="00B92CAD"/>
    <w:rsid w:val="00B93B5F"/>
    <w:rsid w:val="00B9720B"/>
    <w:rsid w:val="00BA2991"/>
    <w:rsid w:val="00BA4A50"/>
    <w:rsid w:val="00BA5056"/>
    <w:rsid w:val="00BA5707"/>
    <w:rsid w:val="00BC437F"/>
    <w:rsid w:val="00BC561C"/>
    <w:rsid w:val="00BD0C05"/>
    <w:rsid w:val="00BD295C"/>
    <w:rsid w:val="00BD2ADA"/>
    <w:rsid w:val="00BD345E"/>
    <w:rsid w:val="00BD4B9B"/>
    <w:rsid w:val="00BD77F0"/>
    <w:rsid w:val="00BE2FAD"/>
    <w:rsid w:val="00BF03FB"/>
    <w:rsid w:val="00BF4FC5"/>
    <w:rsid w:val="00C011C4"/>
    <w:rsid w:val="00C02AE0"/>
    <w:rsid w:val="00C10449"/>
    <w:rsid w:val="00C14D5C"/>
    <w:rsid w:val="00C165BB"/>
    <w:rsid w:val="00C16E1F"/>
    <w:rsid w:val="00C212B8"/>
    <w:rsid w:val="00C24A62"/>
    <w:rsid w:val="00C3074F"/>
    <w:rsid w:val="00C31615"/>
    <w:rsid w:val="00C3165F"/>
    <w:rsid w:val="00C33363"/>
    <w:rsid w:val="00C340B7"/>
    <w:rsid w:val="00C373DF"/>
    <w:rsid w:val="00C4288D"/>
    <w:rsid w:val="00C42BA3"/>
    <w:rsid w:val="00C43A2F"/>
    <w:rsid w:val="00C518A9"/>
    <w:rsid w:val="00C51B82"/>
    <w:rsid w:val="00C66DE6"/>
    <w:rsid w:val="00C67F36"/>
    <w:rsid w:val="00C73647"/>
    <w:rsid w:val="00C82D65"/>
    <w:rsid w:val="00C90130"/>
    <w:rsid w:val="00C90161"/>
    <w:rsid w:val="00C92118"/>
    <w:rsid w:val="00C93CD4"/>
    <w:rsid w:val="00C944D2"/>
    <w:rsid w:val="00C957F2"/>
    <w:rsid w:val="00C95A3B"/>
    <w:rsid w:val="00C973F5"/>
    <w:rsid w:val="00C977D1"/>
    <w:rsid w:val="00CA0AA7"/>
    <w:rsid w:val="00CA7D89"/>
    <w:rsid w:val="00CB0366"/>
    <w:rsid w:val="00CB1955"/>
    <w:rsid w:val="00CB3FB1"/>
    <w:rsid w:val="00CB519A"/>
    <w:rsid w:val="00CB5E88"/>
    <w:rsid w:val="00CB60F4"/>
    <w:rsid w:val="00CB6692"/>
    <w:rsid w:val="00CB6BE4"/>
    <w:rsid w:val="00CC14F1"/>
    <w:rsid w:val="00CC2A07"/>
    <w:rsid w:val="00CC3FD2"/>
    <w:rsid w:val="00CC54F7"/>
    <w:rsid w:val="00CD5130"/>
    <w:rsid w:val="00CD7E70"/>
    <w:rsid w:val="00CE0851"/>
    <w:rsid w:val="00CE1493"/>
    <w:rsid w:val="00CE7C82"/>
    <w:rsid w:val="00CF167A"/>
    <w:rsid w:val="00CF1CF5"/>
    <w:rsid w:val="00CF2E08"/>
    <w:rsid w:val="00CF323C"/>
    <w:rsid w:val="00CF4D51"/>
    <w:rsid w:val="00D04F4C"/>
    <w:rsid w:val="00D10467"/>
    <w:rsid w:val="00D112D0"/>
    <w:rsid w:val="00D136B8"/>
    <w:rsid w:val="00D15C1C"/>
    <w:rsid w:val="00D2060C"/>
    <w:rsid w:val="00D23E06"/>
    <w:rsid w:val="00D2518C"/>
    <w:rsid w:val="00D25FA8"/>
    <w:rsid w:val="00D30FF3"/>
    <w:rsid w:val="00D31B7A"/>
    <w:rsid w:val="00D31FF7"/>
    <w:rsid w:val="00D37E1D"/>
    <w:rsid w:val="00D41F5C"/>
    <w:rsid w:val="00D43495"/>
    <w:rsid w:val="00D515C8"/>
    <w:rsid w:val="00D5189B"/>
    <w:rsid w:val="00D52387"/>
    <w:rsid w:val="00D52462"/>
    <w:rsid w:val="00D53ADC"/>
    <w:rsid w:val="00D5485E"/>
    <w:rsid w:val="00D55A21"/>
    <w:rsid w:val="00D57954"/>
    <w:rsid w:val="00D60CA6"/>
    <w:rsid w:val="00D65319"/>
    <w:rsid w:val="00D66064"/>
    <w:rsid w:val="00D71729"/>
    <w:rsid w:val="00D7202E"/>
    <w:rsid w:val="00D72C2E"/>
    <w:rsid w:val="00D93321"/>
    <w:rsid w:val="00D96A49"/>
    <w:rsid w:val="00DA0385"/>
    <w:rsid w:val="00DA05C1"/>
    <w:rsid w:val="00DA2FC3"/>
    <w:rsid w:val="00DA4636"/>
    <w:rsid w:val="00DA5C04"/>
    <w:rsid w:val="00DB2824"/>
    <w:rsid w:val="00DB47D0"/>
    <w:rsid w:val="00DB753E"/>
    <w:rsid w:val="00DB7B31"/>
    <w:rsid w:val="00DC00A5"/>
    <w:rsid w:val="00DC3607"/>
    <w:rsid w:val="00DC62E6"/>
    <w:rsid w:val="00DC6747"/>
    <w:rsid w:val="00DD0346"/>
    <w:rsid w:val="00DD3971"/>
    <w:rsid w:val="00DE13F7"/>
    <w:rsid w:val="00DE219E"/>
    <w:rsid w:val="00DE2E89"/>
    <w:rsid w:val="00DF3A33"/>
    <w:rsid w:val="00DF62B0"/>
    <w:rsid w:val="00E02D61"/>
    <w:rsid w:val="00E1076F"/>
    <w:rsid w:val="00E1254B"/>
    <w:rsid w:val="00E1510A"/>
    <w:rsid w:val="00E15AD0"/>
    <w:rsid w:val="00E1672F"/>
    <w:rsid w:val="00E219DE"/>
    <w:rsid w:val="00E25C16"/>
    <w:rsid w:val="00E25CF9"/>
    <w:rsid w:val="00E25FC7"/>
    <w:rsid w:val="00E269CC"/>
    <w:rsid w:val="00E26B30"/>
    <w:rsid w:val="00E376CA"/>
    <w:rsid w:val="00E40840"/>
    <w:rsid w:val="00E408E7"/>
    <w:rsid w:val="00E40B0C"/>
    <w:rsid w:val="00E45D7D"/>
    <w:rsid w:val="00E46C64"/>
    <w:rsid w:val="00E566F6"/>
    <w:rsid w:val="00E62AAE"/>
    <w:rsid w:val="00E62D7C"/>
    <w:rsid w:val="00E63856"/>
    <w:rsid w:val="00E67C45"/>
    <w:rsid w:val="00E71D35"/>
    <w:rsid w:val="00E72591"/>
    <w:rsid w:val="00E74A08"/>
    <w:rsid w:val="00E75B94"/>
    <w:rsid w:val="00E76263"/>
    <w:rsid w:val="00E763AA"/>
    <w:rsid w:val="00E80894"/>
    <w:rsid w:val="00E82029"/>
    <w:rsid w:val="00E91E4D"/>
    <w:rsid w:val="00E92E6A"/>
    <w:rsid w:val="00E935C9"/>
    <w:rsid w:val="00E9529E"/>
    <w:rsid w:val="00E95B2E"/>
    <w:rsid w:val="00EA60A1"/>
    <w:rsid w:val="00EA6895"/>
    <w:rsid w:val="00EB1DA7"/>
    <w:rsid w:val="00EB21F2"/>
    <w:rsid w:val="00EB4DB5"/>
    <w:rsid w:val="00EC5168"/>
    <w:rsid w:val="00EC537C"/>
    <w:rsid w:val="00EC6392"/>
    <w:rsid w:val="00ED0A0D"/>
    <w:rsid w:val="00ED490E"/>
    <w:rsid w:val="00ED4F83"/>
    <w:rsid w:val="00EE463C"/>
    <w:rsid w:val="00EE47D1"/>
    <w:rsid w:val="00EF0E11"/>
    <w:rsid w:val="00EF3850"/>
    <w:rsid w:val="00F00A74"/>
    <w:rsid w:val="00F01E9F"/>
    <w:rsid w:val="00F05189"/>
    <w:rsid w:val="00F056FB"/>
    <w:rsid w:val="00F149C6"/>
    <w:rsid w:val="00F15AE7"/>
    <w:rsid w:val="00F15D95"/>
    <w:rsid w:val="00F22B6D"/>
    <w:rsid w:val="00F304E8"/>
    <w:rsid w:val="00F33117"/>
    <w:rsid w:val="00F33DA0"/>
    <w:rsid w:val="00F35394"/>
    <w:rsid w:val="00F5495B"/>
    <w:rsid w:val="00F5594A"/>
    <w:rsid w:val="00F602B0"/>
    <w:rsid w:val="00F66556"/>
    <w:rsid w:val="00F6663E"/>
    <w:rsid w:val="00F74597"/>
    <w:rsid w:val="00F84D18"/>
    <w:rsid w:val="00FA1F8C"/>
    <w:rsid w:val="00FA63C1"/>
    <w:rsid w:val="00FA6EC5"/>
    <w:rsid w:val="00FA794C"/>
    <w:rsid w:val="00FB219E"/>
    <w:rsid w:val="00FB6E74"/>
    <w:rsid w:val="00FB7446"/>
    <w:rsid w:val="00FC077E"/>
    <w:rsid w:val="00FC1074"/>
    <w:rsid w:val="00FC6237"/>
    <w:rsid w:val="00FD3A87"/>
    <w:rsid w:val="00FD405B"/>
    <w:rsid w:val="00FD498D"/>
    <w:rsid w:val="00FD5FE2"/>
    <w:rsid w:val="00FE2812"/>
    <w:rsid w:val="00FE7C1C"/>
    <w:rsid w:val="00FF0588"/>
    <w:rsid w:val="00FF0F60"/>
    <w:rsid w:val="00FF181C"/>
    <w:rsid w:val="00FF2DA4"/>
    <w:rsid w:val="00FF382F"/>
    <w:rsid w:val="00FF5218"/>
    <w:rsid w:val="00FF7AA5"/>
    <w:rsid w:val="00FF7FF2"/>
    <w:rsid w:val="BEF90329"/>
    <w:rsid w:val="F5BF7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name="FollowedHyperlink"/>
    <w:lsdException w:unhideWhenUsed="0" w:uiPriority="0" w:semiHidden="0" w:name="Strong" w:locked="1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260"/>
      <w:ind w:firstLine="300"/>
      <w:jc w:val="both"/>
    </w:pPr>
    <w:rPr>
      <w:rFonts w:ascii="Times New Roman" w:hAnsi="Times New Roman" w:eastAsia="Times New Roman"/>
      <w:sz w:val="22"/>
      <w:lang w:val="uk-UA" w:eastAsia="ru-RU" w:bidi="ar-SA"/>
    </w:rPr>
  </w:style>
  <w:style w:type="paragraph" w:styleId="2">
    <w:name w:val="heading 1"/>
    <w:basedOn w:val="1"/>
    <w:next w:val="1"/>
    <w:link w:val="20"/>
    <w:uiPriority w:val="0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2"/>
    <w:basedOn w:val="1"/>
    <w:next w:val="1"/>
    <w:link w:val="21"/>
    <w:uiPriority w:val="0"/>
    <w:pPr>
      <w:keepNext/>
      <w:keepLines/>
      <w:widowControl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ru-RU" w:eastAsia="uk-UA"/>
    </w:rPr>
  </w:style>
  <w:style w:type="paragraph" w:styleId="4">
    <w:name w:val="heading 3"/>
    <w:basedOn w:val="1"/>
    <w:next w:val="1"/>
    <w:link w:val="22"/>
    <w:uiPriority w:val="0"/>
    <w:pPr>
      <w:keepNext/>
      <w:keepLines/>
      <w:widowControl/>
      <w:spacing w:before="200"/>
      <w:ind w:firstLine="0"/>
      <w:jc w:val="left"/>
      <w:outlineLvl w:val="2"/>
    </w:pPr>
    <w:rPr>
      <w:rFonts w:ascii="Cambria" w:hAnsi="Cambria"/>
      <w:b/>
      <w:bCs/>
      <w:color w:val="4F81BD"/>
      <w:sz w:val="20"/>
      <w:lang w:val="ru-RU" w:eastAsia="uk-U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semiHidden/>
    <w:uiPriority w:val="0"/>
    <w:pPr>
      <w:widowControl/>
      <w:spacing w:before="0"/>
      <w:ind w:firstLine="0"/>
      <w:jc w:val="left"/>
    </w:pPr>
    <w:rPr>
      <w:rFonts w:ascii="Tahoma" w:hAnsi="Tahoma"/>
      <w:sz w:val="16"/>
      <w:szCs w:val="16"/>
      <w:lang w:val="ru-RU" w:eastAsia="uk-UA"/>
    </w:rPr>
  </w:style>
  <w:style w:type="paragraph" w:styleId="8">
    <w:name w:val="Body Text"/>
    <w:basedOn w:val="1"/>
    <w:link w:val="24"/>
    <w:uiPriority w:val="0"/>
    <w:pPr>
      <w:autoSpaceDE w:val="0"/>
      <w:autoSpaceDN w:val="0"/>
      <w:spacing w:before="0"/>
      <w:ind w:firstLine="0"/>
      <w:jc w:val="left"/>
    </w:pPr>
    <w:rPr>
      <w:sz w:val="24"/>
      <w:szCs w:val="24"/>
      <w:lang w:val="en-US"/>
    </w:rPr>
  </w:style>
  <w:style w:type="paragraph" w:styleId="9">
    <w:name w:val="Body Text 2"/>
    <w:basedOn w:val="1"/>
    <w:link w:val="25"/>
    <w:semiHidden/>
    <w:uiPriority w:val="0"/>
    <w:pPr>
      <w:widowControl/>
      <w:spacing w:before="0" w:after="120" w:line="480" w:lineRule="auto"/>
      <w:ind w:firstLine="0"/>
      <w:jc w:val="left"/>
    </w:pPr>
    <w:rPr>
      <w:rFonts w:ascii="Calibri" w:hAnsi="Calibri"/>
      <w:sz w:val="20"/>
      <w:lang w:val="ru-RU" w:eastAsia="uk-UA"/>
    </w:rPr>
  </w:style>
  <w:style w:type="paragraph" w:styleId="10">
    <w:name w:val="Body Text Indent 2"/>
    <w:basedOn w:val="1"/>
    <w:link w:val="26"/>
    <w:uiPriority w:val="0"/>
    <w:pPr>
      <w:spacing w:after="120" w:line="480" w:lineRule="auto"/>
      <w:ind w:left="283"/>
    </w:pPr>
    <w:rPr>
      <w:sz w:val="20"/>
    </w:rPr>
  </w:style>
  <w:style w:type="paragraph" w:styleId="11">
    <w:name w:val="Document Map"/>
    <w:basedOn w:val="1"/>
    <w:link w:val="27"/>
    <w:semiHidden/>
    <w:uiPriority w:val="0"/>
    <w:pPr>
      <w:shd w:val="clear" w:color="auto" w:fill="000080"/>
    </w:pPr>
    <w:rPr>
      <w:sz w:val="2"/>
    </w:rPr>
  </w:style>
  <w:style w:type="character" w:styleId="12">
    <w:name w:val="Emphasis"/>
    <w:basedOn w:val="5"/>
    <w:uiPriority w:val="0"/>
    <w:rPr>
      <w:i/>
    </w:rPr>
  </w:style>
  <w:style w:type="character" w:styleId="13">
    <w:name w:val="FollowedHyperlink"/>
    <w:basedOn w:val="5"/>
    <w:semiHidden/>
    <w:uiPriority w:val="0"/>
    <w:rPr>
      <w:color w:val="800080"/>
      <w:u w:val="single"/>
    </w:rPr>
  </w:style>
  <w:style w:type="paragraph" w:styleId="14">
    <w:name w:val="footer"/>
    <w:basedOn w:val="1"/>
    <w:link w:val="28"/>
    <w:uiPriority w:val="0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/>
      <w:sz w:val="20"/>
      <w:lang w:val="ru-RU" w:eastAsia="uk-UA"/>
    </w:rPr>
  </w:style>
  <w:style w:type="paragraph" w:styleId="15">
    <w:name w:val="header"/>
    <w:basedOn w:val="1"/>
    <w:link w:val="29"/>
    <w:uiPriority w:val="0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/>
      <w:sz w:val="20"/>
      <w:lang w:val="ru-RU" w:eastAsia="uk-UA"/>
    </w:rPr>
  </w:style>
  <w:style w:type="character" w:styleId="16">
    <w:name w:val="Hyperlink"/>
    <w:basedOn w:val="5"/>
    <w:uiPriority w:val="0"/>
    <w:rPr>
      <w:color w:val="0000FF"/>
      <w:u w:val="single"/>
    </w:r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table" w:styleId="18">
    <w:name w:val="Table Grid"/>
    <w:basedOn w:val="6"/>
    <w:uiPriority w:val="0"/>
    <w:rPr>
      <w:rFonts w:ascii="Calibri" w:hAnsi="Calibri" w:eastAsia="Times New Roman" w:cs="Arial"/>
      <w:lang w:val="ru-RU" w:eastAsia="uk-UA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uiPriority w:val="0"/>
    <w:pPr>
      <w:widowControl/>
      <w:spacing w:before="0"/>
      <w:ind w:firstLine="0"/>
      <w:jc w:val="center"/>
    </w:pPr>
    <w:rPr>
      <w:rFonts w:ascii="Arial" w:hAnsi="Arial" w:eastAsia="Calibri"/>
      <w:sz w:val="20"/>
      <w:lang w:val="ru-RU"/>
    </w:rPr>
  </w:style>
  <w:style w:type="character" w:customStyle="1" w:styleId="20">
    <w:name w:val="Heading 1 Char"/>
    <w:link w:val="2"/>
    <w:locked/>
    <w:uiPriority w:val="0"/>
    <w:rPr>
      <w:rFonts w:ascii="Cambria" w:hAnsi="Cambria"/>
      <w:b/>
      <w:kern w:val="32"/>
      <w:sz w:val="32"/>
    </w:rPr>
  </w:style>
  <w:style w:type="character" w:customStyle="1" w:styleId="21">
    <w:name w:val="Heading 2 Char"/>
    <w:link w:val="3"/>
    <w:locked/>
    <w:uiPriority w:val="0"/>
    <w:rPr>
      <w:rFonts w:ascii="Cambria" w:hAnsi="Cambria"/>
      <w:b/>
      <w:color w:val="4F81BD"/>
      <w:sz w:val="26"/>
      <w:lang w:eastAsia="uk-UA"/>
    </w:rPr>
  </w:style>
  <w:style w:type="character" w:customStyle="1" w:styleId="22">
    <w:name w:val="Heading 3 Char"/>
    <w:link w:val="4"/>
    <w:locked/>
    <w:uiPriority w:val="0"/>
    <w:rPr>
      <w:rFonts w:ascii="Cambria" w:hAnsi="Cambria"/>
      <w:b/>
      <w:color w:val="4F81BD"/>
      <w:sz w:val="20"/>
      <w:lang w:eastAsia="uk-UA"/>
    </w:rPr>
  </w:style>
  <w:style w:type="character" w:customStyle="1" w:styleId="23">
    <w:name w:val="Balloon Text Char"/>
    <w:link w:val="7"/>
    <w:semiHidden/>
    <w:locked/>
    <w:uiPriority w:val="0"/>
    <w:rPr>
      <w:rFonts w:ascii="Tahoma" w:hAnsi="Tahoma"/>
      <w:sz w:val="16"/>
      <w:lang w:eastAsia="uk-UA"/>
    </w:rPr>
  </w:style>
  <w:style w:type="character" w:customStyle="1" w:styleId="24">
    <w:name w:val="Body Text Char"/>
    <w:link w:val="8"/>
    <w:locked/>
    <w:uiPriority w:val="0"/>
    <w:rPr>
      <w:rFonts w:ascii="Times New Roman" w:hAnsi="Times New Roman"/>
      <w:sz w:val="24"/>
      <w:lang w:val="en-US"/>
    </w:rPr>
  </w:style>
  <w:style w:type="character" w:customStyle="1" w:styleId="25">
    <w:name w:val="Body Text 2 Char"/>
    <w:link w:val="9"/>
    <w:semiHidden/>
    <w:locked/>
    <w:uiPriority w:val="0"/>
    <w:rPr>
      <w:rFonts w:ascii="Calibri" w:hAnsi="Calibri"/>
      <w:sz w:val="20"/>
      <w:lang w:eastAsia="uk-UA"/>
    </w:rPr>
  </w:style>
  <w:style w:type="character" w:customStyle="1" w:styleId="26">
    <w:name w:val="Body Text Indent 2 Char"/>
    <w:link w:val="10"/>
    <w:semiHidden/>
    <w:locked/>
    <w:uiPriority w:val="0"/>
    <w:rPr>
      <w:rFonts w:ascii="Times New Roman" w:hAnsi="Times New Roman"/>
      <w:sz w:val="20"/>
      <w:lang w:val="uk-UA"/>
    </w:rPr>
  </w:style>
  <w:style w:type="character" w:customStyle="1" w:styleId="27">
    <w:name w:val="Document Map Char"/>
    <w:link w:val="11"/>
    <w:semiHidden/>
    <w:locked/>
    <w:uiPriority w:val="0"/>
    <w:rPr>
      <w:rFonts w:ascii="Times New Roman" w:hAnsi="Times New Roman"/>
      <w:sz w:val="2"/>
      <w:lang w:val="uk-UA"/>
    </w:rPr>
  </w:style>
  <w:style w:type="character" w:customStyle="1" w:styleId="28">
    <w:name w:val="Footer Char"/>
    <w:link w:val="14"/>
    <w:locked/>
    <w:uiPriority w:val="0"/>
    <w:rPr>
      <w:rFonts w:ascii="Calibri" w:hAnsi="Calibri"/>
      <w:sz w:val="20"/>
      <w:lang w:eastAsia="uk-UA"/>
    </w:rPr>
  </w:style>
  <w:style w:type="character" w:customStyle="1" w:styleId="29">
    <w:name w:val="Header Char"/>
    <w:link w:val="15"/>
    <w:locked/>
    <w:uiPriority w:val="0"/>
    <w:rPr>
      <w:rFonts w:ascii="Calibri" w:hAnsi="Calibri"/>
      <w:sz w:val="20"/>
      <w:lang w:eastAsia="uk-UA"/>
    </w:rPr>
  </w:style>
  <w:style w:type="character" w:customStyle="1" w:styleId="30">
    <w:name w:val="Title Char"/>
    <w:link w:val="19"/>
    <w:locked/>
    <w:uiPriority w:val="0"/>
    <w:rPr>
      <w:rFonts w:eastAsia="Times New Roman"/>
      <w:sz w:val="20"/>
      <w:lang w:val="ru-RU" w:eastAsia="ru-RU"/>
    </w:rPr>
  </w:style>
  <w:style w:type="paragraph" w:customStyle="1" w:styleId="31">
    <w:name w:val="List Paragraph"/>
    <w:basedOn w:val="1"/>
    <w:uiPriority w:val="0"/>
    <w:pPr>
      <w:autoSpaceDE w:val="0"/>
      <w:autoSpaceDN w:val="0"/>
      <w:spacing w:before="0"/>
      <w:ind w:left="962" w:hanging="360"/>
      <w:jc w:val="left"/>
    </w:pPr>
    <w:rPr>
      <w:rFonts w:eastAsia="Calibri"/>
      <w:szCs w:val="22"/>
      <w:lang w:val="en-US" w:eastAsia="en-US"/>
    </w:rPr>
  </w:style>
  <w:style w:type="character" w:customStyle="1" w:styleId="32">
    <w:name w:val="rvts0"/>
    <w:uiPriority w:val="0"/>
  </w:style>
  <w:style w:type="character" w:customStyle="1" w:styleId="33">
    <w:name w:val="Основний текст_"/>
    <w:link w:val="34"/>
    <w:locked/>
    <w:uiPriority w:val="0"/>
    <w:rPr>
      <w:rFonts w:ascii="Times New Roman" w:hAnsi="Times New Roman"/>
      <w:sz w:val="27"/>
      <w:shd w:val="clear" w:color="auto" w:fill="FFFFFF"/>
    </w:rPr>
  </w:style>
  <w:style w:type="paragraph" w:customStyle="1" w:styleId="34">
    <w:name w:val="Основний текст"/>
    <w:basedOn w:val="1"/>
    <w:link w:val="33"/>
    <w:uiPriority w:val="0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lang w:val="ru-RU"/>
    </w:rPr>
  </w:style>
  <w:style w:type="character" w:customStyle="1" w:styleId="35">
    <w:name w:val="Основний текст (2)_"/>
    <w:link w:val="36"/>
    <w:locked/>
    <w:uiPriority w:val="0"/>
    <w:rPr>
      <w:rFonts w:ascii="Times New Roman" w:hAnsi="Times New Roman"/>
      <w:sz w:val="27"/>
      <w:shd w:val="clear" w:color="auto" w:fill="FFFFFF"/>
    </w:rPr>
  </w:style>
  <w:style w:type="paragraph" w:customStyle="1" w:styleId="36">
    <w:name w:val="Основний текст (2)"/>
    <w:basedOn w:val="1"/>
    <w:link w:val="35"/>
    <w:uiPriority w:val="0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lang w:val="ru-RU"/>
    </w:rPr>
  </w:style>
  <w:style w:type="paragraph" w:customStyle="1" w:styleId="37">
    <w:name w:val="Абзац списка1"/>
    <w:basedOn w:val="1"/>
    <w:uiPriority w:val="0"/>
    <w:pPr>
      <w:widowControl/>
      <w:spacing w:before="0" w:after="200" w:line="276" w:lineRule="auto"/>
      <w:ind w:left="720" w:firstLine="0"/>
      <w:jc w:val="left"/>
    </w:pPr>
    <w:rPr>
      <w:rFonts w:ascii="Calibri" w:hAnsi="Calibri" w:eastAsia="Calibri"/>
      <w:szCs w:val="22"/>
      <w:lang w:val="ru-RU" w:eastAsia="en-US"/>
    </w:rPr>
  </w:style>
  <w:style w:type="character" w:customStyle="1" w:styleId="38">
    <w:name w:val="Основной текст_"/>
    <w:link w:val="39"/>
    <w:locked/>
    <w:uiPriority w:val="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39">
    <w:name w:val="Основной текст2"/>
    <w:basedOn w:val="1"/>
    <w:link w:val="38"/>
    <w:uiPriority w:val="0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lang w:val="ru-RU"/>
    </w:rPr>
  </w:style>
  <w:style w:type="character" w:customStyle="1" w:styleId="40">
    <w:name w:val="Неразрешенное упоминание1"/>
    <w:semiHidden/>
    <w:uiPriority w:val="0"/>
    <w:rPr>
      <w:color w:val="605E5C"/>
      <w:shd w:val="clear" w:color="auto" w:fill="E1DFDD"/>
    </w:rPr>
  </w:style>
  <w:style w:type="character" w:customStyle="1" w:styleId="41">
    <w:name w:val="fontstyle01"/>
    <w:uiPriority w:val="0"/>
    <w:rPr>
      <w:rFonts w:ascii="CenturyGothic" w:hAnsi="CenturyGothic"/>
      <w:color w:val="242021"/>
      <w:sz w:val="20"/>
    </w:rPr>
  </w:style>
  <w:style w:type="paragraph" w:customStyle="1" w:styleId="42">
    <w:name w:val="normal"/>
    <w:uiPriority w:val="0"/>
    <w:rPr>
      <w:rFonts w:ascii="Times New Roman" w:hAnsi="Times New Roman" w:eastAsia="Times New Roman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1</Pages>
  <Words>686</Words>
  <Characters>3913</Characters>
  <Lines>32</Lines>
  <Paragraphs>9</Paragraphs>
  <TotalTime>2.125</TotalTime>
  <ScaleCrop>false</ScaleCrop>
  <LinksUpToDate>false</LinksUpToDate>
  <CharactersWithSpaces>4590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2023-04-10T16:41:00Z</dcterms:created>
  <dc:creator>Методический отдел</dc:creator>
  <cp:lastModifiedBy>Ольга Протасенко</cp:lastModifiedBy>
  <cp:lastPrinted>2021-09-13T13:13:00Z</cp:lastPrinted>
  <dcterms:modified xsi:type="dcterms:W3CDTF">2024-05-20T13:31:31Z</dcterms:modified>
  <dc:title>Силабус навчальної дисципліни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