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Times New Roman" w:cs="Times New Roman"/>
          <w:b/>
          <w:sz w:val="32"/>
          <w:szCs w:val="32"/>
        </w:rPr>
      </w:pPr>
      <w:r>
        <w:rPr>
          <w:rFonts w:ascii="Times New Roman" w:hAnsi="Times New Roman" w:eastAsia="Times New Roman" w:cs="Times New Roman"/>
          <w:b/>
          <w:sz w:val="32"/>
          <w:szCs w:val="32"/>
        </w:rPr>
        <w:t xml:space="preserve">Силабус </w:t>
      </w:r>
      <w:r>
        <w:rPr>
          <w:rFonts w:ascii="Times New Roman" w:hAnsi="Times New Roman" w:eastAsia="Times New Roman" w:cs="Times New Roman"/>
          <w:b/>
          <w:sz w:val="32"/>
          <w:szCs w:val="32"/>
          <w:lang w:val="uk-UA"/>
        </w:rPr>
        <w:t>навчальної</w:t>
      </w:r>
      <w:r>
        <w:rPr>
          <w:rFonts w:hint="default" w:ascii="Times New Roman" w:hAnsi="Times New Roman" w:eastAsia="Times New Roman" w:cs="Times New Roman"/>
          <w:b/>
          <w:sz w:val="32"/>
          <w:szCs w:val="32"/>
          <w:lang w:val="uk-UA"/>
        </w:rPr>
        <w:t xml:space="preserve"> дисципліни</w:t>
      </w:r>
    </w:p>
    <w:p>
      <w:pPr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«</w:t>
      </w:r>
      <w:r>
        <w:rPr>
          <w:rFonts w:ascii="Times New Roman Italic" w:hAnsi="Times New Roman Italic" w:cs="Times New Roman Italic"/>
          <w:bCs/>
          <w:i/>
          <w:iCs/>
          <w:sz w:val="28"/>
          <w:szCs w:val="28"/>
        </w:rPr>
        <w:t>Захист прав споживачів у сфері обслуговування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>»</w:t>
      </w:r>
    </w:p>
    <w:p>
      <w:pPr>
        <w:jc w:val="center"/>
        <w:rPr>
          <w:rFonts w:ascii="Times New Roman" w:hAnsi="Times New Roman" w:eastAsia="Times New Roman" w:cs="Times New Roman"/>
          <w:b/>
          <w:sz w:val="16"/>
          <w:szCs w:val="16"/>
          <w:highlight w:val="none"/>
        </w:rPr>
      </w:pPr>
    </w:p>
    <w:tbl>
      <w:tblPr>
        <w:tblStyle w:val="6"/>
        <w:tblW w:w="9781" w:type="dxa"/>
        <w:tblInd w:w="5" w:type="dxa"/>
        <w:tblBorders>
          <w:top w:val="dotted" w:color="000000" w:sz="4" w:space="0"/>
          <w:left w:val="dotted" w:color="000000" w:sz="4" w:space="0"/>
          <w:bottom w:val="dotted" w:color="000000" w:sz="4" w:space="0"/>
          <w:right w:val="dotted" w:color="000000" w:sz="4" w:space="0"/>
          <w:insideH w:val="dotted" w:color="000000" w:sz="4" w:space="0"/>
          <w:insideV w:val="dotted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08"/>
        <w:gridCol w:w="6173"/>
      </w:tblGrid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c>
          <w:tcPr>
            <w:tcW w:w="3608" w:type="dxa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none"/>
              </w:rPr>
              <w:t>Спеціальність</w:t>
            </w:r>
          </w:p>
        </w:tc>
        <w:tc>
          <w:tcPr>
            <w:tcW w:w="617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Times New Roman" w:cs="Times New Roman"/>
                <w:i/>
                <w:sz w:val="24"/>
                <w:szCs w:val="24"/>
                <w:highlight w:val="none"/>
                <w:lang w:val="uk-UA"/>
              </w:rPr>
            </w:pPr>
            <w:r>
              <w:rPr>
                <w:rFonts w:hint="default" w:ascii="Times New Roman" w:hAnsi="Times New Roman" w:cs="Times New Roman"/>
                <w:i/>
                <w:sz w:val="24"/>
                <w:szCs w:val="24"/>
                <w:lang w:val="uk-UA"/>
              </w:rPr>
              <w:t>181 Харчові технології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c>
          <w:tcPr>
            <w:tcW w:w="3608" w:type="dxa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none"/>
              </w:rPr>
              <w:t>Освітня програма</w:t>
            </w:r>
          </w:p>
        </w:tc>
        <w:tc>
          <w:tcPr>
            <w:tcW w:w="617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Times New Roman" w:cs="Times New Roman"/>
                <w:i/>
                <w:sz w:val="24"/>
                <w:szCs w:val="24"/>
                <w:highlight w:val="none"/>
                <w:lang w:val="uk-UA"/>
              </w:rPr>
            </w:pPr>
            <w:r>
              <w:rPr>
                <w:rFonts w:hint="default" w:ascii="Times New Roman" w:hAnsi="Times New Roman" w:cs="Times New Roman"/>
                <w:i/>
                <w:sz w:val="24"/>
                <w:szCs w:val="24"/>
                <w:lang w:val="uk-UA"/>
              </w:rPr>
              <w:t>Ресторанні та крафтові харчові технології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c>
          <w:tcPr>
            <w:tcW w:w="3608" w:type="dxa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Освітній рівень</w:t>
            </w:r>
          </w:p>
        </w:tc>
        <w:tc>
          <w:tcPr>
            <w:tcW w:w="6173" w:type="dxa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Перший (бакалаврський)рівень вищої освіти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c>
          <w:tcPr>
            <w:tcW w:w="3608" w:type="dxa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Статус дисципліни</w:t>
            </w:r>
          </w:p>
        </w:tc>
        <w:tc>
          <w:tcPr>
            <w:tcW w:w="6173" w:type="dxa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Вибіркова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c>
          <w:tcPr>
            <w:tcW w:w="3608" w:type="dxa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Мова викладання, навчання та оцінювання </w:t>
            </w:r>
          </w:p>
        </w:tc>
        <w:tc>
          <w:tcPr>
            <w:tcW w:w="6173" w:type="dxa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Українська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c>
          <w:tcPr>
            <w:tcW w:w="3608" w:type="dxa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Курс / семестр</w:t>
            </w:r>
          </w:p>
        </w:tc>
        <w:tc>
          <w:tcPr>
            <w:tcW w:w="6173" w:type="dxa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курс, </w:t>
            </w:r>
            <w:r>
              <w:rPr>
                <w:rFonts w:hint="default" w:ascii="Times New Roman" w:hAnsi="Times New Roman" w:cs="Times New Roman"/>
                <w:i/>
                <w:sz w:val="24"/>
                <w:szCs w:val="24"/>
                <w:lang w:val="uk-UA"/>
              </w:rPr>
              <w:t xml:space="preserve">7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семестр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c>
          <w:tcPr>
            <w:tcW w:w="3608" w:type="dxa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Кількість кредитів ЄКТС</w:t>
            </w:r>
          </w:p>
        </w:tc>
        <w:tc>
          <w:tcPr>
            <w:tcW w:w="6173" w:type="dxa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кредит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ів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rPr>
          <w:trHeight w:val="222" w:hRule="atLeast"/>
        </w:trPr>
        <w:tc>
          <w:tcPr>
            <w:tcW w:w="3608" w:type="dxa"/>
            <w:vMerge w:val="restart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Розподіл годин за формами освітнього процесу та видами навчальних занять</w:t>
            </w:r>
          </w:p>
        </w:tc>
        <w:tc>
          <w:tcPr>
            <w:tcW w:w="6173" w:type="dxa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Лекції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2</w:t>
            </w:r>
            <w:r>
              <w:rPr>
                <w:rFonts w:hint="default" w:ascii="Times New Roman" w:hAnsi="Times New Roman" w:cs="Times New Roman"/>
                <w:i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год.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rPr>
          <w:trHeight w:val="217" w:hRule="atLeast"/>
        </w:trPr>
        <w:tc>
          <w:tcPr>
            <w:tcW w:w="3608" w:type="dxa"/>
            <w:vMerge w:val="continue"/>
            <w:noWrap w:val="0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</w:p>
        </w:tc>
        <w:tc>
          <w:tcPr>
            <w:tcW w:w="6173" w:type="dxa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Практичні (семінарські) – 2</w:t>
            </w:r>
            <w:r>
              <w:rPr>
                <w:rFonts w:hint="default" w:ascii="Times New Roman" w:hAnsi="Times New Roman" w:cs="Times New Roman"/>
                <w:i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год.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rPr>
          <w:trHeight w:val="217" w:hRule="atLeast"/>
        </w:trPr>
        <w:tc>
          <w:tcPr>
            <w:tcW w:w="3608" w:type="dxa"/>
            <w:vMerge w:val="continue"/>
            <w:noWrap w:val="0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</w:p>
        </w:tc>
        <w:tc>
          <w:tcPr>
            <w:tcW w:w="6173" w:type="dxa"/>
            <w:noWrap w:val="0"/>
            <w:vAlign w:val="top"/>
          </w:tcPr>
          <w:p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>Лабораторні – 0 год.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rPr>
          <w:trHeight w:val="217" w:hRule="atLeast"/>
        </w:trPr>
        <w:tc>
          <w:tcPr>
            <w:tcW w:w="3608" w:type="dxa"/>
            <w:vMerge w:val="continue"/>
            <w:noWrap w:val="0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</w:p>
        </w:tc>
        <w:tc>
          <w:tcPr>
            <w:tcW w:w="6173" w:type="dxa"/>
            <w:noWrap w:val="0"/>
            <w:vAlign w:val="top"/>
          </w:tcPr>
          <w:p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Самостійна робота – 102 год.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c>
          <w:tcPr>
            <w:tcW w:w="3608" w:type="dxa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Форма семестрового контролю</w:t>
            </w:r>
          </w:p>
        </w:tc>
        <w:tc>
          <w:tcPr>
            <w:tcW w:w="6173" w:type="dxa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Екзамен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c>
          <w:tcPr>
            <w:tcW w:w="3608" w:type="dxa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6173" w:type="dxa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Кафедра готельного і ресторанного бізнесу, ауд. 307 головного корпусу,</w:t>
            </w:r>
            <w:r>
              <w:rPr>
                <w:rFonts w:hint="default"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 Italic" w:hAnsi="Times New Roman Italic" w:cs="Times New Roman"/>
                <w:i/>
                <w:spacing w:val="-6"/>
                <w:sz w:val="24"/>
                <w:szCs w:val="24"/>
              </w:rPr>
              <w:t>сайт кафедри:</w:t>
            </w:r>
            <w:r>
              <w:rPr>
                <w:rFonts w:hint="default" w:ascii="Times New Roman Italic" w:hAnsi="Times New Roman Italic" w:cs="Times New Roman"/>
                <w:i/>
                <w:spacing w:val="-6"/>
                <w:sz w:val="24"/>
                <w:szCs w:val="24"/>
                <w:lang w:val="uk-UA"/>
              </w:rPr>
              <w:t xml:space="preserve"> </w:t>
            </w:r>
            <w:r>
              <w:rPr>
                <w:rFonts w:hint="default" w:ascii="Times New Roman Italic" w:hAnsi="Times New Roman Italic"/>
                <w:i/>
                <w:spacing w:val="-6"/>
                <w:sz w:val="24"/>
                <w:szCs w:val="24"/>
              </w:rPr>
              <w:fldChar w:fldCharType="begin"/>
            </w:r>
            <w:r>
              <w:rPr>
                <w:rFonts w:hint="default" w:ascii="Times New Roman Italic" w:hAnsi="Times New Roman Italic"/>
                <w:i/>
                <w:spacing w:val="-6"/>
                <w:sz w:val="24"/>
                <w:szCs w:val="24"/>
              </w:rPr>
              <w:instrText xml:space="preserve"> HYPERLINK "http://kafgrb.hneu.edu.ua/" </w:instrText>
            </w:r>
            <w:r>
              <w:rPr>
                <w:rFonts w:hint="default" w:ascii="Times New Roman Italic" w:hAnsi="Times New Roman Italic"/>
                <w:i/>
                <w:spacing w:val="-6"/>
                <w:sz w:val="24"/>
                <w:szCs w:val="24"/>
              </w:rPr>
              <w:fldChar w:fldCharType="separate"/>
            </w:r>
            <w:r>
              <w:rPr>
                <w:rStyle w:val="17"/>
                <w:rFonts w:hint="default" w:ascii="Times New Roman Italic" w:hAnsi="Times New Roman Italic"/>
                <w:i/>
                <w:spacing w:val="-6"/>
                <w:sz w:val="24"/>
                <w:szCs w:val="24"/>
              </w:rPr>
              <w:t>http://kafgrb.hneu.edu.ua/</w:t>
            </w:r>
            <w:r>
              <w:rPr>
                <w:rFonts w:hint="default" w:ascii="Times New Roman Italic" w:hAnsi="Times New Roman Italic"/>
                <w:i/>
                <w:spacing w:val="-6"/>
                <w:sz w:val="24"/>
                <w:szCs w:val="24"/>
              </w:rPr>
              <w:fldChar w:fldCharType="end"/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c>
          <w:tcPr>
            <w:tcW w:w="3608" w:type="dxa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Викладач (-і)</w:t>
            </w:r>
          </w:p>
        </w:tc>
        <w:tc>
          <w:tcPr>
            <w:tcW w:w="6173" w:type="dxa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i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Протасенко Ольга Федорівна, к.т.н., доцент; 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c>
          <w:tcPr>
            <w:tcW w:w="3608" w:type="dxa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Контактна інформація</w:t>
            </w:r>
          </w:p>
          <w:p>
            <w:pP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викладача (-ів)</w:t>
            </w:r>
          </w:p>
        </w:tc>
        <w:tc>
          <w:tcPr>
            <w:tcW w:w="6173" w:type="dxa"/>
            <w:noWrap w:val="0"/>
            <w:vAlign w:val="top"/>
          </w:tcPr>
          <w:p>
            <w:pPr>
              <w:rPr>
                <w:rFonts w:hint="default" w:ascii="Times New Roman" w:hAnsi="Times New Roman" w:eastAsia="Times New Roman" w:cs="Times New Roman"/>
                <w:i/>
                <w:sz w:val="24"/>
                <w:szCs w:val="24"/>
                <w:highlight w:val="none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>olha.protasenko@hneu.net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c>
          <w:tcPr>
            <w:tcW w:w="3608" w:type="dxa"/>
            <w:noWrap w:val="0"/>
            <w:vAlign w:val="top"/>
          </w:tcPr>
          <w:p>
            <w:pPr>
              <w:tabs>
                <w:tab w:val="center" w:pos="2157"/>
              </w:tabs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Дні навчальних занять</w:t>
            </w:r>
          </w:p>
        </w:tc>
        <w:tc>
          <w:tcPr>
            <w:tcW w:w="6173" w:type="dxa"/>
            <w:noWrap w:val="0"/>
            <w:vAlign w:val="top"/>
          </w:tcPr>
          <w:p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Лекція: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u w:val="none"/>
              </w:rPr>
              <w:fldChar w:fldCharType="begin"/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u w:val="none"/>
              </w:rPr>
              <w:instrText xml:space="preserve"> HYPERLINK "http://www.rozklad.hneu.edu.ua/schedule/schedule?employee=432665" </w:instrTex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u w:val="none"/>
              </w:rPr>
              <w:fldChar w:fldCharType="separate"/>
            </w:r>
            <w:r>
              <w:rPr>
                <w:rStyle w:val="14"/>
                <w:rFonts w:ascii="Times New Roman" w:hAnsi="Times New Roman" w:cs="Times New Roman"/>
                <w:i/>
                <w:sz w:val="24"/>
                <w:szCs w:val="24"/>
              </w:rPr>
              <w:t>згідно діючого розкладу занять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u w:val="none"/>
              </w:rPr>
              <w:fldChar w:fldCharType="end"/>
            </w:r>
          </w:p>
          <w:p>
            <w:pPr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Практичні: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u w:val="none"/>
              </w:rPr>
              <w:fldChar w:fldCharType="begin"/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u w:val="none"/>
              </w:rPr>
              <w:instrText xml:space="preserve"> HYPERLINK "http://www.rozklad.hneu.edu.ua/schedule/schedule?employee=432665" </w:instrTex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u w:val="none"/>
              </w:rPr>
              <w:fldChar w:fldCharType="separate"/>
            </w:r>
            <w:r>
              <w:rPr>
                <w:rStyle w:val="17"/>
                <w:rFonts w:ascii="Times New Roman" w:hAnsi="Times New Roman" w:cs="Times New Roman"/>
                <w:i/>
                <w:sz w:val="24"/>
                <w:szCs w:val="24"/>
              </w:rPr>
              <w:t>згідно діючого розкладу занять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c>
          <w:tcPr>
            <w:tcW w:w="3608" w:type="dxa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Консультації</w:t>
            </w:r>
          </w:p>
        </w:tc>
        <w:tc>
          <w:tcPr>
            <w:tcW w:w="6173" w:type="dxa"/>
            <w:noWrap w:val="0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both"/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Групові / індивідуальні, очні / дистанційні, відповідно до графіку консультацій, чат ПНС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rPr>
          <w:trHeight w:val="1024" w:hRule="atLeast"/>
        </w:trPr>
        <w:tc>
          <w:tcPr>
            <w:tcW w:w="9781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Мета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>навчальної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 xml:space="preserve"> дисципліни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‒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це формування 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здобувачів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uk-UA" w:eastAsia="zh-CN"/>
              </w:rPr>
              <w:t xml:space="preserve"> освіти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уявлення про організаційно-правові засади захисту прав споживачів; визначення напрямів діяльності органів державного управління і громадських об’єднань із захисту прав споживачів; розвиток практичних навичок щодо вирішення питань прав захисту споживачів у сфері обслуговування.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rPr>
          <w:trHeight w:val="1333" w:hRule="atLeast"/>
        </w:trPr>
        <w:tc>
          <w:tcPr>
            <w:tcW w:w="9781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Times New Roman" w:cs="Times New Roman"/>
                <w:b/>
                <w:sz w:val="12"/>
                <w:szCs w:val="12"/>
              </w:rPr>
            </w:pPr>
          </w:p>
          <w:p>
            <w:pPr>
              <w:spacing w:after="120"/>
              <w:jc w:val="center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Структурно-логічна схема вивчення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/>
              </w:rPr>
              <w:t>навчальної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uk-UA"/>
              </w:rPr>
              <w:t xml:space="preserve"> дисципліни</w:t>
            </w:r>
            <w:bookmarkStart w:id="0" w:name="_GoBack"/>
            <w:bookmarkEnd w:id="0"/>
          </w:p>
          <w:tbl>
            <w:tblPr>
              <w:tblStyle w:val="6"/>
              <w:tblW w:w="9600" w:type="dxa"/>
              <w:tblInd w:w="0" w:type="dxa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838"/>
              <w:gridCol w:w="4762"/>
            </w:tblGrid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</w:tblPrEx>
              <w:trPr>
                <w:trHeight w:val="316" w:hRule="atLeast"/>
              </w:trPr>
              <w:tc>
                <w:tcPr>
                  <w:tcW w:w="4838" w:type="dxa"/>
                  <w:noWrap w:val="0"/>
                  <w:vAlign w:val="top"/>
                </w:tcPr>
                <w:p>
                  <w:pPr>
                    <w:widowControl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tabs>
                      <w:tab w:val="left" w:pos="624"/>
                    </w:tabs>
                    <w:suppressAutoHyphens/>
                    <w:ind w:leftChars="-1" w:right="625" w:hanging="2" w:hangingChars="1"/>
                    <w:jc w:val="center"/>
                    <w:textAlignment w:val="top"/>
                    <w:outlineLvl w:val="0"/>
                    <w:rPr>
                      <w:rFonts w:ascii="Times New Roman" w:hAnsi="Times New Roman" w:eastAsia="Times New Roman" w:cs="Times New Roman"/>
                      <w:color w:val="000000"/>
                      <w:position w:val="-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color w:val="000000"/>
                      <w:position w:val="-1"/>
                      <w:sz w:val="24"/>
                      <w:szCs w:val="24"/>
                    </w:rPr>
                    <w:t>Пререквізити</w:t>
                  </w:r>
                </w:p>
              </w:tc>
              <w:tc>
                <w:tcPr>
                  <w:tcW w:w="4762" w:type="dxa"/>
                  <w:noWrap w:val="0"/>
                  <w:vAlign w:val="top"/>
                </w:tcPr>
                <w:p>
                  <w:pPr>
                    <w:widowControl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tabs>
                      <w:tab w:val="left" w:pos="624"/>
                    </w:tabs>
                    <w:suppressAutoHyphens/>
                    <w:ind w:leftChars="-1" w:right="625" w:hanging="2" w:hangingChars="1"/>
                    <w:jc w:val="center"/>
                    <w:textAlignment w:val="top"/>
                    <w:outlineLvl w:val="0"/>
                    <w:rPr>
                      <w:rFonts w:ascii="Times New Roman" w:hAnsi="Times New Roman" w:eastAsia="Times New Roman" w:cs="Times New Roman"/>
                      <w:color w:val="000000"/>
                      <w:position w:val="-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color w:val="000000"/>
                      <w:position w:val="-1"/>
                      <w:sz w:val="24"/>
                      <w:szCs w:val="24"/>
                    </w:rPr>
                    <w:t>Постреквізити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</w:tblPrEx>
              <w:tc>
                <w:tcPr>
                  <w:tcW w:w="4838" w:type="dxa"/>
                  <w:noWrap w:val="0"/>
                  <w:vAlign w:val="top"/>
                </w:tcPr>
                <w:p>
                  <w:pPr>
                    <w:widowControl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suppressAutoHyphens/>
                    <w:ind w:left="0" w:leftChars="-1" w:hanging="2" w:hangingChars="1"/>
                    <w:textAlignment w:val="top"/>
                    <w:outlineLvl w:val="0"/>
                    <w:rPr>
                      <w:rFonts w:ascii="Times New Roman" w:hAnsi="Times New Roman" w:eastAsia="Calibri" w:cs="Times New Roman"/>
                      <w:sz w:val="24"/>
                      <w:szCs w:val="24"/>
                      <w:lang w:val="uk-UA" w:eastAsia="uk-UA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С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тандартизація, сертифікація і метрологія</w:t>
                  </w:r>
                </w:p>
              </w:tc>
              <w:tc>
                <w:tcPr>
                  <w:tcW w:w="4762" w:type="dxa"/>
                  <w:noWrap w:val="0"/>
                  <w:vAlign w:val="top"/>
                </w:tcPr>
                <w:p>
                  <w:pPr>
                    <w:widowControl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tabs>
                      <w:tab w:val="left" w:pos="624"/>
                    </w:tabs>
                    <w:suppressAutoHyphens/>
                    <w:ind w:leftChars="-1" w:right="625" w:hanging="2" w:hangingChars="1"/>
                    <w:jc w:val="left"/>
                    <w:textAlignment w:val="top"/>
                    <w:outlineLvl w:val="0"/>
                    <w:rPr>
                      <w:rFonts w:ascii="Times New Roman" w:hAnsi="Times New Roman" w:eastAsia="Times New Roman" w:cs="Times New Roman"/>
                      <w:color w:val="000000"/>
                      <w:position w:val="-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1"/>
                      <w:sz w:val="24"/>
                      <w:szCs w:val="24"/>
                    </w:rPr>
                    <w:t>Переддипломна практика</w:t>
                  </w:r>
                </w:p>
              </w:tc>
            </w:tr>
          </w:tbl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2"/>
                <w:szCs w:val="12"/>
              </w:rPr>
            </w:pP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rPr>
          <w:trHeight w:val="683" w:hRule="atLeast"/>
        </w:trPr>
        <w:tc>
          <w:tcPr>
            <w:tcW w:w="9781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Зміст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навчальної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uk-UA"/>
              </w:rPr>
              <w:t xml:space="preserve"> дисципліни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Змістовий модуль 1. </w:t>
            </w:r>
            <w:r>
              <w:rPr>
                <w:rFonts w:ascii="Times New Roman Italic" w:hAnsi="Times New Roman Italic" w:cs="Times New Roman Italic"/>
                <w:bCs/>
                <w:i/>
                <w:iCs/>
                <w:sz w:val="24"/>
                <w:szCs w:val="24"/>
                <w:lang w:eastAsia="zh-CN"/>
              </w:rPr>
              <w:t>Правові основи захисту прав споживачів в Україні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Правові положення захисту прав споживачів в Україні. Концепція захисту прав споживачів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2.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Діяльність державних консюмерських організацій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3. 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іяльність громадських організацій із захисту прав споживачів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4. </w:t>
            </w:r>
            <w:r>
              <w:rPr>
                <w:rFonts w:ascii="Times New Roman Bold" w:hAnsi="Times New Roman Bold" w:eastAsia="Times New Roman Bold" w:cs="Times New Roman Bold"/>
                <w:b/>
                <w:bCs/>
                <w:color w:val="000000"/>
                <w:sz w:val="24"/>
                <w:szCs w:val="24"/>
                <w:lang w:eastAsia="zh-CN" w:bidi="ar"/>
              </w:rPr>
              <w:t>Відповідальність за порушення законодавства у сфері захисту прав споживачів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Змістовий модуль 2. </w:t>
            </w:r>
            <w:r>
              <w:rPr>
                <w:rFonts w:ascii="Times New Roman Italic" w:hAnsi="Times New Roman Italic" w:cs="Times New Roman Italic"/>
                <w:bCs/>
                <w:i/>
                <w:iCs/>
                <w:sz w:val="24"/>
                <w:szCs w:val="24"/>
                <w:lang w:eastAsia="zh-CN"/>
              </w:rPr>
              <w:t>Особливості захисту прав споживачів у сфері обслуговування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5.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Законодавчі та нормативні акти, що регулюють питання захисту прав споживачів у сфері обслуговування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6.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Особливості захисту прав споживачів у закладах ресторанного і готельного господарства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7.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Повноваження органів із захисту прав споживачів та порядок проведення перевірок у закладах сфери обслуговування</w:t>
            </w:r>
          </w:p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Тема 8. Організації із захисту прав споживачів у закладах сфери обслуговування у різних країнах світу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rPr>
          <w:trHeight w:val="720" w:hRule="atLeast"/>
        </w:trPr>
        <w:tc>
          <w:tcPr>
            <w:tcW w:w="9781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Матеріально-технічне (програмне)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забезпечення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/>
              </w:rPr>
              <w:t>навчальної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uk-UA"/>
              </w:rPr>
              <w:t xml:space="preserve"> дисципліни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>Мультимедійний проектор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ru-RU"/>
              </w:rPr>
              <w:t xml:space="preserve">, ПНС ХНЕУ ім.С.Кузнеця, 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en-US"/>
              </w:rPr>
              <w:t>ZOOM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rPr>
          <w:trHeight w:val="3693" w:hRule="atLeast"/>
        </w:trPr>
        <w:tc>
          <w:tcPr>
            <w:tcW w:w="9781" w:type="dxa"/>
            <w:gridSpan w:val="2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Форми та методи оцінювання </w:t>
            </w: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firstLine="284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Університет використовує 100 бальну накопичувальну систему оцінювання результатів навчання здобувачів вищої освіти. </w:t>
            </w: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firstLine="284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Поточний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uk-UA"/>
              </w:rPr>
              <w:t xml:space="preserve"> і модульний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контрол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uk-UA"/>
              </w:rPr>
              <w:t>і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здійсню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uk-UA"/>
              </w:rPr>
              <w:t>ю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ться під час проведення лекційних, практичних (семінарських) занять і ма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uk-UA"/>
              </w:rPr>
              <w:t>ють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на меті перевірку рівня підготовленості здобувача вищої освіти до виконання конкретної роботи і оцінюється сумою набраних балів.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Мінімально можлива кількість балів за поточний і модульний контрол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упродовж семестру – 35. </w:t>
            </w: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firstLine="284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Підсумковий контроль проводиться у формі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uk-UA"/>
              </w:rPr>
              <w:t>екзамену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Результат семестрового екзамену оцінюється в балах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  <w:t>.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аксимальна кількість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  <w:t xml:space="preserve"> балів за екзамен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40 балів, мінімальна кількість, що зараховується, – 25.</w:t>
            </w: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firstLine="284"/>
              <w:jc w:val="both"/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00000"/>
                <w:sz w:val="24"/>
                <w:szCs w:val="24"/>
              </w:rPr>
              <w:t>Більш детальна інформація щодо системи оцінювання та накопичування балів з навчальної дисципліни наведена у робочому плані (технологічній карті) з навчальної дисципліни.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rPr>
          <w:trHeight w:val="276" w:hRule="atLeast"/>
        </w:trPr>
        <w:tc>
          <w:tcPr>
            <w:tcW w:w="9781" w:type="dxa"/>
            <w:gridSpan w:val="2"/>
            <w:vMerge w:val="restart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Політики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/>
              </w:rPr>
              <w:t>навчальної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uk-UA"/>
              </w:rPr>
              <w:t xml:space="preserve"> дисципліни</w:t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Викладання навчальної дисципліни ґрунтується на засадах академічної доброчесності. Порушеннями академічної доброчесності вважаються: академічний плагіат, фабрикація, фальсифікація, списування, обман, хабарництво, необ’єктивне оцінювання. За порушення академічної доброчесності здобувачі освіти притягуються до такої академічної відповідальності: повторне проходження оцінювання відповідного виду навчальної роботи.</w:t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rPr>
          <w:trHeight w:val="276" w:hRule="atLeast"/>
        </w:trPr>
        <w:tc>
          <w:tcPr>
            <w:tcW w:w="9781" w:type="dxa"/>
            <w:gridSpan w:val="2"/>
            <w:vMerge w:val="continue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rPr>
          <w:trHeight w:val="1005" w:hRule="atLeast"/>
        </w:trPr>
        <w:tc>
          <w:tcPr>
            <w:tcW w:w="9781" w:type="dxa"/>
            <w:gridSpan w:val="2"/>
            <w:noWrap w:val="0"/>
            <w:vAlign w:val="top"/>
          </w:tcPr>
          <w:p>
            <w:pPr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</w:rPr>
              <w:t>Більш детальну інформацію щодо компетентностей, результатів навчання, методів навчання, форм та методів оцінювання, самостійної роботи наведено у Робочій програмі навчальної дисципліни.</w:t>
            </w:r>
          </w:p>
        </w:tc>
      </w:tr>
    </w:tbl>
    <w:p>
      <w:pPr>
        <w:ind w:firstLine="709"/>
        <w:jc w:val="right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624"/>
        </w:tabs>
        <w:suppressAutoHyphens/>
        <w:ind w:leftChars="-1" w:right="625" w:hanging="2" w:hangingChars="1"/>
        <w:jc w:val="both"/>
        <w:textAlignment w:val="top"/>
        <w:outlineLvl w:val="0"/>
        <w:rPr>
          <w:rFonts w:ascii="Times New Roman" w:hAnsi="Times New Roman" w:eastAsia="Times New Roman" w:cs="Times New Roman"/>
          <w:color w:val="000000"/>
          <w:position w:val="-1"/>
          <w:sz w:val="24"/>
          <w:szCs w:val="24"/>
        </w:rPr>
      </w:pPr>
    </w:p>
    <w:sectPr>
      <w:headerReference r:id="rId3" w:type="default"/>
      <w:pgSz w:w="11906" w:h="16838"/>
      <w:pgMar w:top="1134" w:right="567" w:bottom="1134" w:left="1701" w:header="284" w:footer="709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Arial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黑体">
    <w:altName w:val="黑体-简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黑体-简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0"/>
    <w:family w:val="modern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-简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Calibri">
    <w:altName w:val="Helvetica Neue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Cambria">
    <w:altName w:val="苹方-简"/>
    <w:panose1 w:val="00000000000000000000"/>
    <w:charset w:val="00"/>
    <w:family w:val="roman"/>
    <w:pitch w:val="default"/>
    <w:sig w:usb0="00000000" w:usb1="00000000" w:usb2="02000000" w:usb3="00000000" w:csb0="0000019F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Tahoma">
    <w:panose1 w:val="020B0604030504040204"/>
    <w:charset w:val="00"/>
    <w:family w:val="swiss"/>
    <w:pitch w:val="default"/>
    <w:sig w:usb0="00000000" w:usb1="00000000" w:usb2="00000000" w:usb3="00000000" w:csb0="00000000" w:csb1="00000000"/>
  </w:font>
  <w:font w:name="Times New Roman Italic">
    <w:panose1 w:val="02020603050405020304"/>
    <w:charset w:val="00"/>
    <w:family w:val="auto"/>
    <w:pitch w:val="default"/>
    <w:sig w:usb0="00000000" w:usb1="00000000" w:usb2="00000000" w:usb3="00000000" w:csb0="00000000" w:csb1="00000000"/>
  </w:font>
  <w:font w:name="Times New Roman Bold">
    <w:panose1 w:val="02020603050405020304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ascii="Times New Roman" w:hAnsi="Times New Roman" w:eastAsia="Times New Roman" w:cs="Times New Roman"/>
        <w:i/>
        <w:sz w:val="24"/>
        <w:szCs w:val="24"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-259715</wp:posOffset>
          </wp:positionH>
          <wp:positionV relativeFrom="paragraph">
            <wp:posOffset>-73660</wp:posOffset>
          </wp:positionV>
          <wp:extent cx="710565" cy="702310"/>
          <wp:effectExtent l="0" t="0" r="0" b="0"/>
          <wp:wrapTopAndBottom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0565" cy="702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jc w:val="center"/>
    </w:pPr>
    <w:r>
      <w:rPr>
        <w:rFonts w:ascii="Times New Roman" w:hAnsi="Times New Roman" w:eastAsia="Times New Roman" w:cs="Times New Roman"/>
        <w:i/>
        <w:sz w:val="24"/>
        <w:szCs w:val="24"/>
      </w:rPr>
      <w:t>Харківський національний економічний університет імені Семена Кузнеця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596"/>
    <w:rsid w:val="0000491A"/>
    <w:rsid w:val="00005799"/>
    <w:rsid w:val="0000783A"/>
    <w:rsid w:val="00007DB3"/>
    <w:rsid w:val="00013B13"/>
    <w:rsid w:val="00015D89"/>
    <w:rsid w:val="00016F33"/>
    <w:rsid w:val="0002640D"/>
    <w:rsid w:val="00034C7F"/>
    <w:rsid w:val="00046991"/>
    <w:rsid w:val="00055274"/>
    <w:rsid w:val="0006034B"/>
    <w:rsid w:val="00070FCF"/>
    <w:rsid w:val="00092B79"/>
    <w:rsid w:val="000936B6"/>
    <w:rsid w:val="000A3246"/>
    <w:rsid w:val="000A7CA2"/>
    <w:rsid w:val="000B72A6"/>
    <w:rsid w:val="000C08A3"/>
    <w:rsid w:val="000C53A7"/>
    <w:rsid w:val="000D1347"/>
    <w:rsid w:val="000D24AF"/>
    <w:rsid w:val="000D5C36"/>
    <w:rsid w:val="000E4370"/>
    <w:rsid w:val="000F0183"/>
    <w:rsid w:val="000F416A"/>
    <w:rsid w:val="000F418A"/>
    <w:rsid w:val="00102518"/>
    <w:rsid w:val="00104495"/>
    <w:rsid w:val="00132A33"/>
    <w:rsid w:val="0014658C"/>
    <w:rsid w:val="00156D29"/>
    <w:rsid w:val="0015719A"/>
    <w:rsid w:val="00160FB9"/>
    <w:rsid w:val="00170E27"/>
    <w:rsid w:val="001743ED"/>
    <w:rsid w:val="001776E4"/>
    <w:rsid w:val="001843E1"/>
    <w:rsid w:val="001845A2"/>
    <w:rsid w:val="00185C13"/>
    <w:rsid w:val="00197292"/>
    <w:rsid w:val="001A4817"/>
    <w:rsid w:val="001B7B92"/>
    <w:rsid w:val="001D3598"/>
    <w:rsid w:val="001D3D9A"/>
    <w:rsid w:val="001E6DC0"/>
    <w:rsid w:val="001F3E34"/>
    <w:rsid w:val="00201BFC"/>
    <w:rsid w:val="00207C07"/>
    <w:rsid w:val="00216D65"/>
    <w:rsid w:val="0022470A"/>
    <w:rsid w:val="00232232"/>
    <w:rsid w:val="0024509E"/>
    <w:rsid w:val="00257FC2"/>
    <w:rsid w:val="0026415D"/>
    <w:rsid w:val="00276855"/>
    <w:rsid w:val="0028205D"/>
    <w:rsid w:val="00285A82"/>
    <w:rsid w:val="0029082C"/>
    <w:rsid w:val="0029660A"/>
    <w:rsid w:val="002A7F23"/>
    <w:rsid w:val="002C0DE3"/>
    <w:rsid w:val="002F441D"/>
    <w:rsid w:val="002F77FA"/>
    <w:rsid w:val="00316B7F"/>
    <w:rsid w:val="00317F9E"/>
    <w:rsid w:val="003222B8"/>
    <w:rsid w:val="00324322"/>
    <w:rsid w:val="0033711C"/>
    <w:rsid w:val="00364E90"/>
    <w:rsid w:val="003746D6"/>
    <w:rsid w:val="00374D09"/>
    <w:rsid w:val="0038109D"/>
    <w:rsid w:val="00390B83"/>
    <w:rsid w:val="003A0AB5"/>
    <w:rsid w:val="003A26C1"/>
    <w:rsid w:val="003A4C37"/>
    <w:rsid w:val="003B2C8C"/>
    <w:rsid w:val="003B6A52"/>
    <w:rsid w:val="003C6A4E"/>
    <w:rsid w:val="003C7A06"/>
    <w:rsid w:val="003D2DBA"/>
    <w:rsid w:val="003E00F6"/>
    <w:rsid w:val="003E5ADB"/>
    <w:rsid w:val="003F7885"/>
    <w:rsid w:val="00403776"/>
    <w:rsid w:val="00403FA6"/>
    <w:rsid w:val="00411AD0"/>
    <w:rsid w:val="0041202A"/>
    <w:rsid w:val="004241BF"/>
    <w:rsid w:val="00424498"/>
    <w:rsid w:val="00437E23"/>
    <w:rsid w:val="004565B2"/>
    <w:rsid w:val="004657D8"/>
    <w:rsid w:val="0048606D"/>
    <w:rsid w:val="004A0016"/>
    <w:rsid w:val="004B32DF"/>
    <w:rsid w:val="004B3D7E"/>
    <w:rsid w:val="004C5797"/>
    <w:rsid w:val="004D60FF"/>
    <w:rsid w:val="004E0DA1"/>
    <w:rsid w:val="004E1610"/>
    <w:rsid w:val="004E735A"/>
    <w:rsid w:val="004F237A"/>
    <w:rsid w:val="004F39AA"/>
    <w:rsid w:val="004F7F5E"/>
    <w:rsid w:val="005061CC"/>
    <w:rsid w:val="00514FB8"/>
    <w:rsid w:val="0053051D"/>
    <w:rsid w:val="00537BD4"/>
    <w:rsid w:val="00541FB5"/>
    <w:rsid w:val="00542458"/>
    <w:rsid w:val="00542690"/>
    <w:rsid w:val="00544791"/>
    <w:rsid w:val="005519F1"/>
    <w:rsid w:val="00552BEB"/>
    <w:rsid w:val="00557C62"/>
    <w:rsid w:val="00565BB6"/>
    <w:rsid w:val="005756FC"/>
    <w:rsid w:val="00580D4D"/>
    <w:rsid w:val="00583FB6"/>
    <w:rsid w:val="00592D2F"/>
    <w:rsid w:val="00596B11"/>
    <w:rsid w:val="005A4A51"/>
    <w:rsid w:val="005A55F5"/>
    <w:rsid w:val="005B4AD2"/>
    <w:rsid w:val="005C7A5E"/>
    <w:rsid w:val="005E380E"/>
    <w:rsid w:val="005E439F"/>
    <w:rsid w:val="005E7681"/>
    <w:rsid w:val="005F1F9D"/>
    <w:rsid w:val="005F4A28"/>
    <w:rsid w:val="005F6A0B"/>
    <w:rsid w:val="00614EED"/>
    <w:rsid w:val="00617297"/>
    <w:rsid w:val="0062118D"/>
    <w:rsid w:val="00632543"/>
    <w:rsid w:val="006365AF"/>
    <w:rsid w:val="006379C2"/>
    <w:rsid w:val="00642563"/>
    <w:rsid w:val="006431B7"/>
    <w:rsid w:val="00667C9A"/>
    <w:rsid w:val="00676F45"/>
    <w:rsid w:val="00677116"/>
    <w:rsid w:val="0068236B"/>
    <w:rsid w:val="00687DB3"/>
    <w:rsid w:val="00691DCC"/>
    <w:rsid w:val="00691E32"/>
    <w:rsid w:val="0069753C"/>
    <w:rsid w:val="006A2638"/>
    <w:rsid w:val="006A3894"/>
    <w:rsid w:val="006A4FB8"/>
    <w:rsid w:val="006A5BF2"/>
    <w:rsid w:val="006C14BC"/>
    <w:rsid w:val="006D05C4"/>
    <w:rsid w:val="006D246E"/>
    <w:rsid w:val="006D2E88"/>
    <w:rsid w:val="006E3A06"/>
    <w:rsid w:val="006E7E2F"/>
    <w:rsid w:val="00700CAC"/>
    <w:rsid w:val="00707C5D"/>
    <w:rsid w:val="00716265"/>
    <w:rsid w:val="0071650F"/>
    <w:rsid w:val="00717596"/>
    <w:rsid w:val="0072156A"/>
    <w:rsid w:val="0072709F"/>
    <w:rsid w:val="007359BB"/>
    <w:rsid w:val="00735B54"/>
    <w:rsid w:val="007445D1"/>
    <w:rsid w:val="007548C8"/>
    <w:rsid w:val="00763C84"/>
    <w:rsid w:val="00763FA8"/>
    <w:rsid w:val="00764093"/>
    <w:rsid w:val="007712DF"/>
    <w:rsid w:val="00773789"/>
    <w:rsid w:val="00780C4A"/>
    <w:rsid w:val="00783810"/>
    <w:rsid w:val="00792D6D"/>
    <w:rsid w:val="007A66D4"/>
    <w:rsid w:val="007A6B2E"/>
    <w:rsid w:val="007A77C0"/>
    <w:rsid w:val="007B1AAF"/>
    <w:rsid w:val="007C1A73"/>
    <w:rsid w:val="007C5EFF"/>
    <w:rsid w:val="007D0E6E"/>
    <w:rsid w:val="007D200E"/>
    <w:rsid w:val="007D22C1"/>
    <w:rsid w:val="007E0D0F"/>
    <w:rsid w:val="007F33D3"/>
    <w:rsid w:val="007F51B6"/>
    <w:rsid w:val="007F7065"/>
    <w:rsid w:val="00802EEF"/>
    <w:rsid w:val="00804B86"/>
    <w:rsid w:val="00821A37"/>
    <w:rsid w:val="008325B9"/>
    <w:rsid w:val="00844BFD"/>
    <w:rsid w:val="008633D7"/>
    <w:rsid w:val="00864245"/>
    <w:rsid w:val="00865528"/>
    <w:rsid w:val="00872C5A"/>
    <w:rsid w:val="00881051"/>
    <w:rsid w:val="00890DF5"/>
    <w:rsid w:val="0089259A"/>
    <w:rsid w:val="00894580"/>
    <w:rsid w:val="008A5757"/>
    <w:rsid w:val="008C533E"/>
    <w:rsid w:val="008D3774"/>
    <w:rsid w:val="008D6928"/>
    <w:rsid w:val="008F4CA6"/>
    <w:rsid w:val="008F71C7"/>
    <w:rsid w:val="00915758"/>
    <w:rsid w:val="009175A8"/>
    <w:rsid w:val="00921AA6"/>
    <w:rsid w:val="00924749"/>
    <w:rsid w:val="009264F7"/>
    <w:rsid w:val="00931995"/>
    <w:rsid w:val="0094435C"/>
    <w:rsid w:val="00954915"/>
    <w:rsid w:val="0095567D"/>
    <w:rsid w:val="00957071"/>
    <w:rsid w:val="00975562"/>
    <w:rsid w:val="00990507"/>
    <w:rsid w:val="00992E87"/>
    <w:rsid w:val="00997DDE"/>
    <w:rsid w:val="009B5836"/>
    <w:rsid w:val="009C698D"/>
    <w:rsid w:val="009D14D3"/>
    <w:rsid w:val="009D6307"/>
    <w:rsid w:val="009E4958"/>
    <w:rsid w:val="009F54FB"/>
    <w:rsid w:val="00A2009B"/>
    <w:rsid w:val="00A27B05"/>
    <w:rsid w:val="00A30085"/>
    <w:rsid w:val="00A321BD"/>
    <w:rsid w:val="00A35546"/>
    <w:rsid w:val="00A4035B"/>
    <w:rsid w:val="00A40D8B"/>
    <w:rsid w:val="00A625C5"/>
    <w:rsid w:val="00A66D70"/>
    <w:rsid w:val="00A84B50"/>
    <w:rsid w:val="00A87D20"/>
    <w:rsid w:val="00A932A3"/>
    <w:rsid w:val="00AA41C6"/>
    <w:rsid w:val="00AB0905"/>
    <w:rsid w:val="00AB2516"/>
    <w:rsid w:val="00AB5C27"/>
    <w:rsid w:val="00AB760A"/>
    <w:rsid w:val="00AE13E1"/>
    <w:rsid w:val="00AE30F3"/>
    <w:rsid w:val="00AE6939"/>
    <w:rsid w:val="00AF4FD3"/>
    <w:rsid w:val="00B004E8"/>
    <w:rsid w:val="00B04717"/>
    <w:rsid w:val="00B12C71"/>
    <w:rsid w:val="00B27B14"/>
    <w:rsid w:val="00B4188C"/>
    <w:rsid w:val="00B4664C"/>
    <w:rsid w:val="00B64071"/>
    <w:rsid w:val="00B72914"/>
    <w:rsid w:val="00B76A51"/>
    <w:rsid w:val="00B871C5"/>
    <w:rsid w:val="00B87410"/>
    <w:rsid w:val="00B93B5F"/>
    <w:rsid w:val="00BA2991"/>
    <w:rsid w:val="00BA4A50"/>
    <w:rsid w:val="00BC437F"/>
    <w:rsid w:val="00BC561C"/>
    <w:rsid w:val="00BD295C"/>
    <w:rsid w:val="00BD2ADA"/>
    <w:rsid w:val="00BD345E"/>
    <w:rsid w:val="00BD561A"/>
    <w:rsid w:val="00BD77F0"/>
    <w:rsid w:val="00BF03FB"/>
    <w:rsid w:val="00C00672"/>
    <w:rsid w:val="00C011C4"/>
    <w:rsid w:val="00C14988"/>
    <w:rsid w:val="00C14D5C"/>
    <w:rsid w:val="00C165BB"/>
    <w:rsid w:val="00C16E1F"/>
    <w:rsid w:val="00C24A62"/>
    <w:rsid w:val="00C3074F"/>
    <w:rsid w:val="00C340B7"/>
    <w:rsid w:val="00C373DF"/>
    <w:rsid w:val="00C37E76"/>
    <w:rsid w:val="00C42BA3"/>
    <w:rsid w:val="00C510FD"/>
    <w:rsid w:val="00C64DCD"/>
    <w:rsid w:val="00C66DE6"/>
    <w:rsid w:val="00C67F36"/>
    <w:rsid w:val="00C82D65"/>
    <w:rsid w:val="00C90DFD"/>
    <w:rsid w:val="00C92118"/>
    <w:rsid w:val="00C95A3B"/>
    <w:rsid w:val="00CA72B1"/>
    <w:rsid w:val="00CA7D89"/>
    <w:rsid w:val="00CB0366"/>
    <w:rsid w:val="00CB3FB1"/>
    <w:rsid w:val="00CB60F4"/>
    <w:rsid w:val="00CC0C30"/>
    <w:rsid w:val="00CC2A07"/>
    <w:rsid w:val="00CD56BB"/>
    <w:rsid w:val="00CF1CF5"/>
    <w:rsid w:val="00CF4E3C"/>
    <w:rsid w:val="00D1434A"/>
    <w:rsid w:val="00D15C1C"/>
    <w:rsid w:val="00D25FA8"/>
    <w:rsid w:val="00D31B7A"/>
    <w:rsid w:val="00D31FF7"/>
    <w:rsid w:val="00D55A21"/>
    <w:rsid w:val="00D71729"/>
    <w:rsid w:val="00D7202E"/>
    <w:rsid w:val="00D72C2E"/>
    <w:rsid w:val="00D93321"/>
    <w:rsid w:val="00D96A49"/>
    <w:rsid w:val="00DA05C1"/>
    <w:rsid w:val="00DA2FC3"/>
    <w:rsid w:val="00DA5C04"/>
    <w:rsid w:val="00DB2824"/>
    <w:rsid w:val="00DB47D0"/>
    <w:rsid w:val="00DB7B31"/>
    <w:rsid w:val="00DC00A5"/>
    <w:rsid w:val="00DE219E"/>
    <w:rsid w:val="00DE2E89"/>
    <w:rsid w:val="00E02D61"/>
    <w:rsid w:val="00E1254B"/>
    <w:rsid w:val="00E219DE"/>
    <w:rsid w:val="00E25C16"/>
    <w:rsid w:val="00E25CF9"/>
    <w:rsid w:val="00E269CC"/>
    <w:rsid w:val="00E26B30"/>
    <w:rsid w:val="00E33230"/>
    <w:rsid w:val="00E45D7D"/>
    <w:rsid w:val="00E60E15"/>
    <w:rsid w:val="00E62AAE"/>
    <w:rsid w:val="00E63856"/>
    <w:rsid w:val="00E67C45"/>
    <w:rsid w:val="00E74A08"/>
    <w:rsid w:val="00E763AA"/>
    <w:rsid w:val="00E81974"/>
    <w:rsid w:val="00E935C9"/>
    <w:rsid w:val="00EB135E"/>
    <w:rsid w:val="00EB4DB5"/>
    <w:rsid w:val="00EC1930"/>
    <w:rsid w:val="00EC5168"/>
    <w:rsid w:val="00ED490E"/>
    <w:rsid w:val="00ED4F83"/>
    <w:rsid w:val="00EE425B"/>
    <w:rsid w:val="00EE47D1"/>
    <w:rsid w:val="00EF0E11"/>
    <w:rsid w:val="00EF3850"/>
    <w:rsid w:val="00EF60F3"/>
    <w:rsid w:val="00F149C6"/>
    <w:rsid w:val="00F15AE7"/>
    <w:rsid w:val="00F15D95"/>
    <w:rsid w:val="00F2153C"/>
    <w:rsid w:val="00F23223"/>
    <w:rsid w:val="00F304E8"/>
    <w:rsid w:val="00F3097B"/>
    <w:rsid w:val="00F33117"/>
    <w:rsid w:val="00F35394"/>
    <w:rsid w:val="00F54FE5"/>
    <w:rsid w:val="00F84D18"/>
    <w:rsid w:val="00FA1F8C"/>
    <w:rsid w:val="00FA6EC5"/>
    <w:rsid w:val="00FA794C"/>
    <w:rsid w:val="00FB6985"/>
    <w:rsid w:val="00FB6E74"/>
    <w:rsid w:val="00FC077E"/>
    <w:rsid w:val="00FE7C1C"/>
    <w:rsid w:val="00FF0F60"/>
    <w:rsid w:val="00FF5218"/>
    <w:rsid w:val="00FF7AA5"/>
    <w:rsid w:val="3ADFC069"/>
    <w:rsid w:val="5BE7772D"/>
    <w:rsid w:val="5CF82943"/>
    <w:rsid w:val="5F3F72C1"/>
    <w:rsid w:val="5FFFA1D3"/>
    <w:rsid w:val="67F5C758"/>
    <w:rsid w:val="6F394581"/>
    <w:rsid w:val="6FD72BB4"/>
    <w:rsid w:val="76575E70"/>
    <w:rsid w:val="77E9B86D"/>
    <w:rsid w:val="7A7E0C67"/>
    <w:rsid w:val="7BECEE33"/>
    <w:rsid w:val="7CFFD922"/>
    <w:rsid w:val="7DB73CB4"/>
    <w:rsid w:val="7DDD4595"/>
    <w:rsid w:val="7EF4D648"/>
    <w:rsid w:val="7FBBF1E1"/>
    <w:rsid w:val="AEFDF069"/>
    <w:rsid w:val="B75AC55A"/>
    <w:rsid w:val="BEBB3AE9"/>
    <w:rsid w:val="E9EEDB0E"/>
    <w:rsid w:val="E9FF0068"/>
    <w:rsid w:val="ED8CD1F4"/>
    <w:rsid w:val="FDBB1304"/>
    <w:rsid w:val="FE9D5B44"/>
    <w:rsid w:val="FF3CE20D"/>
    <w:rsid w:val="FF7A707C"/>
    <w:rsid w:val="FFCAF009"/>
    <w:rsid w:val="FFF7B4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="Calibri" w:cs="Arial"/>
      <w:lang w:val="uk-UA" w:eastAsia="uk-UA" w:bidi="ar-SA"/>
    </w:rPr>
  </w:style>
  <w:style w:type="paragraph" w:styleId="2">
    <w:name w:val="heading 1"/>
    <w:basedOn w:val="1"/>
    <w:next w:val="1"/>
    <w:link w:val="20"/>
    <w:qFormat/>
    <w:uiPriority w:val="9"/>
    <w:pPr>
      <w:keepNext/>
      <w:spacing w:before="240" w:after="60" w:line="276" w:lineRule="auto"/>
      <w:outlineLvl w:val="0"/>
    </w:pPr>
    <w:rPr>
      <w:rFonts w:ascii="Cambria" w:hAnsi="Cambria" w:eastAsia="Times New Roman" w:cs="Times New Roman"/>
      <w:b/>
      <w:bCs/>
      <w:kern w:val="32"/>
      <w:sz w:val="32"/>
      <w:szCs w:val="32"/>
      <w:lang w:eastAsia="en-US"/>
    </w:rPr>
  </w:style>
  <w:style w:type="paragraph" w:styleId="3">
    <w:name w:val="heading 2"/>
    <w:basedOn w:val="1"/>
    <w:next w:val="1"/>
    <w:link w:val="21"/>
    <w:unhideWhenUsed/>
    <w:qFormat/>
    <w:uiPriority w:val="9"/>
    <w:pPr>
      <w:keepNext/>
      <w:keepLines/>
      <w:spacing w:before="200"/>
      <w:outlineLvl w:val="1"/>
    </w:pPr>
    <w:rPr>
      <w:rFonts w:ascii="Cambria" w:hAnsi="Cambria" w:eastAsia="Times New Roman" w:cs="Times New Roman"/>
      <w:b/>
      <w:bCs/>
      <w:color w:val="4F81BD"/>
      <w:sz w:val="26"/>
      <w:szCs w:val="26"/>
    </w:rPr>
  </w:style>
  <w:style w:type="paragraph" w:styleId="4">
    <w:name w:val="heading 3"/>
    <w:basedOn w:val="1"/>
    <w:next w:val="1"/>
    <w:link w:val="22"/>
    <w:unhideWhenUsed/>
    <w:qFormat/>
    <w:uiPriority w:val="9"/>
    <w:pPr>
      <w:keepNext/>
      <w:keepLines/>
      <w:spacing w:before="200"/>
      <w:outlineLvl w:val="2"/>
    </w:pPr>
    <w:rPr>
      <w:rFonts w:ascii="Cambria" w:hAnsi="Cambria" w:eastAsia="Times New Roman" w:cs="Times New Roman"/>
      <w:b/>
      <w:bCs/>
      <w:color w:val="4F81BD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23"/>
    <w:unhideWhenUsed/>
    <w:qFormat/>
    <w:uiPriority w:val="99"/>
    <w:rPr>
      <w:rFonts w:ascii="Tahoma" w:hAnsi="Tahoma" w:cs="Tahoma"/>
      <w:sz w:val="16"/>
      <w:szCs w:val="16"/>
    </w:rPr>
  </w:style>
  <w:style w:type="paragraph" w:styleId="8">
    <w:name w:val="Body Text"/>
    <w:basedOn w:val="1"/>
    <w:link w:val="24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4"/>
      <w:szCs w:val="24"/>
      <w:lang w:val="en-US" w:eastAsia="en-US" w:bidi="en-US"/>
    </w:rPr>
  </w:style>
  <w:style w:type="paragraph" w:styleId="9">
    <w:name w:val="Body Text 2"/>
    <w:basedOn w:val="1"/>
    <w:link w:val="25"/>
    <w:unhideWhenUsed/>
    <w:qFormat/>
    <w:uiPriority w:val="99"/>
    <w:pPr>
      <w:spacing w:after="120" w:line="480" w:lineRule="auto"/>
    </w:pPr>
  </w:style>
  <w:style w:type="character" w:styleId="10">
    <w:name w:val="annotation reference"/>
    <w:unhideWhenUsed/>
    <w:qFormat/>
    <w:uiPriority w:val="99"/>
    <w:rPr>
      <w:sz w:val="16"/>
      <w:szCs w:val="16"/>
    </w:rPr>
  </w:style>
  <w:style w:type="paragraph" w:styleId="11">
    <w:name w:val="annotation text"/>
    <w:basedOn w:val="1"/>
    <w:link w:val="26"/>
    <w:unhideWhenUsed/>
    <w:qFormat/>
    <w:uiPriority w:val="99"/>
  </w:style>
  <w:style w:type="paragraph" w:styleId="12">
    <w:name w:val="annotation subject"/>
    <w:basedOn w:val="11"/>
    <w:next w:val="11"/>
    <w:link w:val="27"/>
    <w:unhideWhenUsed/>
    <w:qFormat/>
    <w:uiPriority w:val="99"/>
    <w:rPr>
      <w:b/>
      <w:bCs/>
    </w:rPr>
  </w:style>
  <w:style w:type="character" w:styleId="13">
    <w:name w:val="Emphasis"/>
    <w:qFormat/>
    <w:uiPriority w:val="20"/>
    <w:rPr>
      <w:i/>
      <w:iCs/>
    </w:rPr>
  </w:style>
  <w:style w:type="character" w:styleId="14">
    <w:name w:val="FollowedHyperlink"/>
    <w:unhideWhenUsed/>
    <w:qFormat/>
    <w:uiPriority w:val="99"/>
    <w:rPr>
      <w:color w:val="954F72"/>
      <w:u w:val="single"/>
    </w:rPr>
  </w:style>
  <w:style w:type="paragraph" w:styleId="15">
    <w:name w:val="footer"/>
    <w:basedOn w:val="1"/>
    <w:link w:val="28"/>
    <w:unhideWhenUsed/>
    <w:qFormat/>
    <w:uiPriority w:val="99"/>
    <w:pPr>
      <w:tabs>
        <w:tab w:val="center" w:pos="4819"/>
        <w:tab w:val="right" w:pos="9639"/>
      </w:tabs>
    </w:pPr>
  </w:style>
  <w:style w:type="paragraph" w:styleId="16">
    <w:name w:val="header"/>
    <w:basedOn w:val="1"/>
    <w:link w:val="29"/>
    <w:unhideWhenUsed/>
    <w:qFormat/>
    <w:uiPriority w:val="99"/>
    <w:pPr>
      <w:tabs>
        <w:tab w:val="center" w:pos="4819"/>
        <w:tab w:val="right" w:pos="9639"/>
      </w:tabs>
    </w:pPr>
  </w:style>
  <w:style w:type="character" w:styleId="17">
    <w:name w:val="Hyperlink"/>
    <w:unhideWhenUsed/>
    <w:qFormat/>
    <w:uiPriority w:val="99"/>
    <w:rPr>
      <w:color w:val="0000FF"/>
      <w:u w:val="single"/>
    </w:rPr>
  </w:style>
  <w:style w:type="table" w:styleId="18">
    <w:name w:val="Table Grid"/>
    <w:basedOn w:val="6"/>
    <w:qFormat/>
    <w:uiPriority w:val="39"/>
    <w:pPr>
      <w:spacing w:after="0" w:line="240" w:lineRule="auto"/>
    </w:pPr>
    <w:rPr>
      <w:rFonts w:ascii="Calibri" w:hAnsi="Calibri" w:cs="Arial"/>
      <w:sz w:val="20"/>
      <w:szCs w:val="20"/>
      <w:lang w:eastAsia="uk-U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0" w:type="dxa"/>
        <w:right w:w="0" w:type="dxa"/>
      </w:tblCellMar>
    </w:tblPr>
  </w:style>
  <w:style w:type="paragraph" w:styleId="19">
    <w:name w:val="Title"/>
    <w:basedOn w:val="1"/>
    <w:link w:val="30"/>
    <w:qFormat/>
    <w:uiPriority w:val="0"/>
    <w:pPr>
      <w:jc w:val="center"/>
    </w:pPr>
    <w:rPr>
      <w:rFonts w:ascii="Arial" w:hAnsi="Arial" w:eastAsia="Times New Roman" w:cs="Times New Roman"/>
      <w:sz w:val="36"/>
      <w:lang w:val="ru-RU" w:eastAsia="ru-RU"/>
    </w:rPr>
  </w:style>
  <w:style w:type="character" w:customStyle="1" w:styleId="20">
    <w:name w:val="Заголовок 1 Знак"/>
    <w:link w:val="2"/>
    <w:qFormat/>
    <w:uiPriority w:val="9"/>
    <w:rPr>
      <w:rFonts w:ascii="Cambria" w:hAnsi="Cambria" w:eastAsia="Times New Roman"/>
      <w:b/>
      <w:bCs/>
      <w:kern w:val="32"/>
      <w:sz w:val="32"/>
      <w:szCs w:val="32"/>
    </w:rPr>
  </w:style>
  <w:style w:type="character" w:customStyle="1" w:styleId="21">
    <w:name w:val="Заголовок 2 Знак"/>
    <w:link w:val="3"/>
    <w:qFormat/>
    <w:uiPriority w:val="9"/>
    <w:rPr>
      <w:rFonts w:ascii="Cambria" w:hAnsi="Cambria" w:eastAsia="Times New Roman" w:cs="Times New Roman"/>
      <w:b/>
      <w:bCs/>
      <w:color w:val="4F81BD"/>
      <w:sz w:val="26"/>
      <w:szCs w:val="26"/>
      <w:lang w:eastAsia="uk-UA"/>
    </w:rPr>
  </w:style>
  <w:style w:type="character" w:customStyle="1" w:styleId="22">
    <w:name w:val="Заголовок 3 Знак"/>
    <w:link w:val="4"/>
    <w:qFormat/>
    <w:uiPriority w:val="0"/>
    <w:rPr>
      <w:rFonts w:ascii="Cambria" w:hAnsi="Cambria" w:eastAsia="Times New Roman" w:cs="Times New Roman"/>
      <w:b/>
      <w:bCs/>
      <w:color w:val="4F81BD"/>
      <w:sz w:val="20"/>
      <w:szCs w:val="20"/>
      <w:lang w:eastAsia="uk-UA"/>
    </w:rPr>
  </w:style>
  <w:style w:type="character" w:customStyle="1" w:styleId="23">
    <w:name w:val="Текст у виносці Знак"/>
    <w:link w:val="7"/>
    <w:semiHidden/>
    <w:qFormat/>
    <w:uiPriority w:val="99"/>
    <w:rPr>
      <w:rFonts w:ascii="Tahoma" w:hAnsi="Tahoma" w:cs="Tahoma"/>
      <w:sz w:val="16"/>
      <w:szCs w:val="16"/>
      <w:lang w:eastAsia="uk-UA"/>
    </w:rPr>
  </w:style>
  <w:style w:type="character" w:customStyle="1" w:styleId="24">
    <w:name w:val="Основний текст Знак"/>
    <w:link w:val="8"/>
    <w:qFormat/>
    <w:uiPriority w:val="1"/>
    <w:rPr>
      <w:rFonts w:ascii="Times New Roman" w:hAnsi="Times New Roman" w:eastAsia="Times New Roman"/>
      <w:sz w:val="24"/>
      <w:szCs w:val="24"/>
      <w:lang w:val="en-US" w:bidi="en-US"/>
    </w:rPr>
  </w:style>
  <w:style w:type="character" w:customStyle="1" w:styleId="25">
    <w:name w:val="Основний текст 2 Знак"/>
    <w:link w:val="9"/>
    <w:semiHidden/>
    <w:qFormat/>
    <w:uiPriority w:val="99"/>
    <w:rPr>
      <w:rFonts w:ascii="Calibri" w:hAnsi="Calibri" w:cs="Arial"/>
      <w:sz w:val="20"/>
      <w:szCs w:val="20"/>
      <w:lang w:eastAsia="uk-UA"/>
    </w:rPr>
  </w:style>
  <w:style w:type="character" w:customStyle="1" w:styleId="26">
    <w:name w:val="Текст примітки Знак"/>
    <w:link w:val="11"/>
    <w:semiHidden/>
    <w:qFormat/>
    <w:uiPriority w:val="99"/>
    <w:rPr>
      <w:rFonts w:ascii="Calibri" w:hAnsi="Calibri" w:cs="Arial"/>
      <w:sz w:val="20"/>
      <w:szCs w:val="20"/>
      <w:lang w:eastAsia="uk-UA"/>
    </w:rPr>
  </w:style>
  <w:style w:type="character" w:customStyle="1" w:styleId="27">
    <w:name w:val="Тема примітки Знак"/>
    <w:link w:val="12"/>
    <w:semiHidden/>
    <w:qFormat/>
    <w:uiPriority w:val="99"/>
    <w:rPr>
      <w:rFonts w:ascii="Calibri" w:hAnsi="Calibri" w:cs="Arial"/>
      <w:b/>
      <w:bCs/>
      <w:sz w:val="20"/>
      <w:szCs w:val="20"/>
      <w:lang w:eastAsia="uk-UA"/>
    </w:rPr>
  </w:style>
  <w:style w:type="character" w:customStyle="1" w:styleId="28">
    <w:name w:val="Нижній колонтитул Знак"/>
    <w:link w:val="15"/>
    <w:qFormat/>
    <w:uiPriority w:val="99"/>
    <w:rPr>
      <w:rFonts w:ascii="Calibri" w:hAnsi="Calibri" w:cs="Arial"/>
      <w:sz w:val="20"/>
      <w:szCs w:val="20"/>
      <w:lang w:eastAsia="uk-UA"/>
    </w:rPr>
  </w:style>
  <w:style w:type="character" w:customStyle="1" w:styleId="29">
    <w:name w:val="Верхній колонтитул Знак"/>
    <w:link w:val="16"/>
    <w:qFormat/>
    <w:uiPriority w:val="99"/>
    <w:rPr>
      <w:rFonts w:ascii="Calibri" w:hAnsi="Calibri" w:cs="Arial"/>
      <w:sz w:val="20"/>
      <w:szCs w:val="20"/>
      <w:lang w:eastAsia="uk-UA"/>
    </w:rPr>
  </w:style>
  <w:style w:type="character" w:customStyle="1" w:styleId="30">
    <w:name w:val="Назва Знак"/>
    <w:link w:val="19"/>
    <w:qFormat/>
    <w:uiPriority w:val="0"/>
    <w:rPr>
      <w:rFonts w:eastAsia="Times New Roman"/>
      <w:sz w:val="36"/>
      <w:szCs w:val="20"/>
      <w:lang w:val="ru-RU" w:eastAsia="ru-RU"/>
    </w:rPr>
  </w:style>
  <w:style w:type="paragraph" w:styleId="31">
    <w:name w:val="List Paragraph"/>
    <w:basedOn w:val="1"/>
    <w:qFormat/>
    <w:uiPriority w:val="34"/>
    <w:pPr>
      <w:widowControl w:val="0"/>
      <w:autoSpaceDE w:val="0"/>
      <w:autoSpaceDN w:val="0"/>
      <w:ind w:left="962" w:hanging="360"/>
    </w:pPr>
    <w:rPr>
      <w:rFonts w:ascii="Times New Roman" w:hAnsi="Times New Roman" w:eastAsia="Times New Roman" w:cs="Times New Roman"/>
      <w:sz w:val="22"/>
      <w:szCs w:val="22"/>
      <w:lang w:val="en-US" w:eastAsia="en-US" w:bidi="en-US"/>
    </w:rPr>
  </w:style>
  <w:style w:type="character" w:customStyle="1" w:styleId="32">
    <w:name w:val="rvts0"/>
    <w:qFormat/>
    <w:uiPriority w:val="0"/>
  </w:style>
  <w:style w:type="character" w:customStyle="1" w:styleId="33">
    <w:name w:val="Основний текст_"/>
    <w:link w:val="34"/>
    <w:qFormat/>
    <w:uiPriority w:val="0"/>
    <w:rPr>
      <w:rFonts w:ascii="Times New Roman" w:hAnsi="Times New Roman" w:eastAsia="Times New Roman"/>
      <w:sz w:val="27"/>
      <w:szCs w:val="27"/>
      <w:shd w:val="clear" w:color="auto" w:fill="FFFFFF"/>
    </w:rPr>
  </w:style>
  <w:style w:type="paragraph" w:customStyle="1" w:styleId="34">
    <w:name w:val="Основний текст1"/>
    <w:basedOn w:val="1"/>
    <w:link w:val="33"/>
    <w:qFormat/>
    <w:uiPriority w:val="0"/>
    <w:pPr>
      <w:shd w:val="clear" w:color="auto" w:fill="FFFFFF"/>
      <w:spacing w:line="322" w:lineRule="exact"/>
    </w:pPr>
    <w:rPr>
      <w:rFonts w:ascii="Times New Roman" w:hAnsi="Times New Roman" w:eastAsia="Times New Roman" w:cs="Times New Roman"/>
      <w:sz w:val="27"/>
      <w:szCs w:val="27"/>
      <w:lang w:eastAsia="en-US"/>
    </w:rPr>
  </w:style>
  <w:style w:type="character" w:customStyle="1" w:styleId="35">
    <w:name w:val="Основний текст (2)_"/>
    <w:link w:val="36"/>
    <w:qFormat/>
    <w:uiPriority w:val="0"/>
    <w:rPr>
      <w:rFonts w:ascii="Times New Roman" w:hAnsi="Times New Roman" w:eastAsia="Times New Roman"/>
      <w:sz w:val="27"/>
      <w:szCs w:val="27"/>
      <w:shd w:val="clear" w:color="auto" w:fill="FFFFFF"/>
    </w:rPr>
  </w:style>
  <w:style w:type="paragraph" w:customStyle="1" w:styleId="36">
    <w:name w:val="Основний текст (2)"/>
    <w:basedOn w:val="1"/>
    <w:link w:val="35"/>
    <w:qFormat/>
    <w:uiPriority w:val="0"/>
    <w:pPr>
      <w:shd w:val="clear" w:color="auto" w:fill="FFFFFF"/>
      <w:spacing w:after="3540" w:line="322" w:lineRule="exact"/>
      <w:jc w:val="center"/>
    </w:pPr>
    <w:rPr>
      <w:rFonts w:ascii="Times New Roman" w:hAnsi="Times New Roman" w:eastAsia="Times New Roman" w:cs="Times New Roman"/>
      <w:sz w:val="27"/>
      <w:szCs w:val="27"/>
      <w:lang w:eastAsia="en-US"/>
    </w:rPr>
  </w:style>
  <w:style w:type="paragraph" w:customStyle="1" w:styleId="37">
    <w:name w:val="Абзац списка1"/>
    <w:basedOn w:val="1"/>
    <w:qFormat/>
    <w:uiPriority w:val="99"/>
    <w:pPr>
      <w:spacing w:after="200" w:line="276" w:lineRule="auto"/>
      <w:ind w:left="720"/>
      <w:contextualSpacing/>
    </w:pPr>
    <w:rPr>
      <w:rFonts w:eastAsia="Times New Roman" w:cs="Times New Roman"/>
      <w:sz w:val="22"/>
      <w:szCs w:val="22"/>
      <w:lang w:val="ru-RU"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Харьковский национальный экономический университет</Company>
  <Pages>2</Pages>
  <Words>557</Words>
  <Characters>3177</Characters>
  <Lines>26</Lines>
  <Paragraphs>7</Paragraphs>
  <TotalTime>0</TotalTime>
  <ScaleCrop>false</ScaleCrop>
  <LinksUpToDate>false</LinksUpToDate>
  <CharactersWithSpaces>3727</CharactersWithSpaces>
  <Application>WPS Office_5.7.1.8092_F1E327BC-269C-435d-A152-05C5408002CA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2024-01-08T00:13:00Z</dcterms:created>
  <dc:creator>Методический отдел</dc:creator>
  <cp:lastModifiedBy>Ольга Протасенко</cp:lastModifiedBy>
  <cp:lastPrinted>2020-08-28T22:01:00Z</cp:lastPrinted>
  <dcterms:modified xsi:type="dcterms:W3CDTF">2024-05-10T10:51:33Z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1033-5.7.1.8092</vt:lpwstr>
  </property>
</Properties>
</file>