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«Крафтові технології»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42"/>
        <w:tblW w:w="9637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3244"/>
        <w:gridCol w:w="10"/>
        <w:gridCol w:w="635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Обов’язкова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 курс, 5 і 6 семестри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10 кредитів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Лекції – 48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204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Екзамен, 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"https://kafgrb.hneu.edu.ua/"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https://kafgrb.hneu.edu.ua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Лабораторні: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7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363" w:type="dxa"/>
            <w:gridSpan w:val="2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формування системи знань з крафтових технологій виробництва харчової продукції з сировини тваринного та рослинного походження, оволодіння професійними знаннями, навичками та вміннями щодо кулінарної обробки основної та додаткової сировини, обґрунтування параметрів та апаратурного оформлення технологічних процесів виробництва крафтової продукції в умовах ресторанного бізнесу та малих виробництв.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Гігієна і санітарія в галузі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Процеси і апарати харчових виробництв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Устаткування закладів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  <w:tc>
                <w:tcPr>
                  <w:tcW w:w="476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Управління безпечністю харчової продукції на основі концепції  НАССР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60" w:rightChars="3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>’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єктів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Крафтові технології виробництва хлібобулочних, кондитерських та кулінарних виробів на міні виробництвах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1. Крафтові технології - перспективи та асортимент виробництва. Асортимент крафтової продукції, перспективи його розвитку.</w:t>
            </w:r>
          </w:p>
          <w:p>
            <w:pPr>
              <w:keepNext w:val="0"/>
              <w:keepLines w:val="0"/>
              <w:pageBreakBefore w:val="0"/>
              <w:tabs>
                <w:tab w:val="left" w:pos="426"/>
                <w:tab w:val="left" w:pos="540"/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 Крафтові технології виробництва хлібобулочних, кондитерських та кулінарних виробів.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3. Технологія виробництв оздоблювальних напівфабрикатів для кондитерських виробів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4. Технології виготовлення заморожених тістових напівфабрикатів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Крафтові технології виробництва харчової продукції з сировини тваринного і рослинного походження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5. Крафтові технології м’ясних продуктів в умовах закладів ресторанного господарства і малих виробництв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6. Крафтові технології молочних продуктів в умовах закладів ресторанного господарства і малих виробництв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7. Крафтовітехнології виробництва пива та квасу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8. Крафтові технології переробки та використання фруктово-ягідної та овочевої сировини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9. Крафтові технології виробництва міцних напоїв</w:t>
            </w:r>
          </w:p>
          <w:p>
            <w:pPr>
              <w:keepNext w:val="0"/>
              <w:keepLines w:val="0"/>
              <w:pageBreakBefore w:val="0"/>
              <w:tabs>
                <w:tab w:val="left" w:pos="7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10. Крафтові технології у виноробстві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77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12"/>
                <w:szCs w:val="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оцінювання сформованих компетентностей враховує вади знань, які передбачають лекційні, семінарські, практичні заняття, а також виконання самостійної роботи. Оцінювання сформованих компетентностей у студентів здійснюється за накопичувальною 100-бальною системою. Поточний контроль, що здійснюється протягом семестру під час проведення практичних (семінарських) занять та самостійної роботи оцінюється сумою набраних балів..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у 2 семестрах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письмові контрольні роботи, тестування.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63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60" w:rightChars="30" w:firstLine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34" w:right="851" w:bottom="113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-205105</wp:posOffset>
          </wp:positionV>
          <wp:extent cx="661670" cy="503555"/>
          <wp:effectExtent l="0" t="0" r="0" b="444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t="11829" b="9645"/>
                  <a:stretch>
                    <a:fillRect/>
                  </a:stretch>
                </pic:blipFill>
                <pic:spPr>
                  <a:xfrm>
                    <a:off x="0" y="0"/>
                    <a:ext cx="66167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B"/>
    <w:rsid w:val="000776FC"/>
    <w:rsid w:val="00095BA7"/>
    <w:rsid w:val="000C0036"/>
    <w:rsid w:val="000E39E1"/>
    <w:rsid w:val="00150892"/>
    <w:rsid w:val="00252FBB"/>
    <w:rsid w:val="00334066"/>
    <w:rsid w:val="003C4900"/>
    <w:rsid w:val="003D2FC7"/>
    <w:rsid w:val="00404CEA"/>
    <w:rsid w:val="004D29B0"/>
    <w:rsid w:val="005C5009"/>
    <w:rsid w:val="006A5835"/>
    <w:rsid w:val="00812109"/>
    <w:rsid w:val="00861A77"/>
    <w:rsid w:val="0091221A"/>
    <w:rsid w:val="00947F3B"/>
    <w:rsid w:val="009D412B"/>
    <w:rsid w:val="00BE1491"/>
    <w:rsid w:val="00CA6DA2"/>
    <w:rsid w:val="00DA296D"/>
    <w:rsid w:val="00DA3B7A"/>
    <w:rsid w:val="00E12451"/>
    <w:rsid w:val="00FF04BE"/>
    <w:rsid w:val="2F5D9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1">
    <w:name w:val="Body Text 3"/>
    <w:basedOn w:val="1"/>
    <w:link w:val="34"/>
    <w:uiPriority w:val="0"/>
    <w:pPr>
      <w:spacing w:after="120"/>
    </w:pPr>
    <w:rPr>
      <w:sz w:val="16"/>
      <w:szCs w:val="16"/>
    </w:rPr>
  </w:style>
  <w:style w:type="paragraph" w:styleId="12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3">
    <w:name w:val="Body Text Indent 2"/>
    <w:basedOn w:val="1"/>
    <w:link w:val="35"/>
    <w:uiPriority w:val="0"/>
    <w:pPr>
      <w:spacing w:after="120" w:line="480" w:lineRule="auto"/>
      <w:ind w:left="283"/>
    </w:pPr>
  </w:style>
  <w:style w:type="paragraph" w:styleId="14">
    <w:name w:val="Body Text Indent 3"/>
    <w:basedOn w:val="1"/>
    <w:link w:val="36"/>
    <w:unhideWhenUsed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5">
    <w:name w:val="FollowedHyperlink"/>
    <w:qFormat/>
    <w:uiPriority w:val="0"/>
    <w:rPr>
      <w:color w:val="800080"/>
      <w:u w:val="single"/>
    </w:rPr>
  </w:style>
  <w:style w:type="paragraph" w:styleId="1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20">
    <w:name w:val="page number"/>
    <w:basedOn w:val="8"/>
    <w:qFormat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qFormat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qFormat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0"/>
    <w:qFormat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1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semiHidden/>
    <w:qFormat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2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1"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3"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4"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results_summary publication"/>
    <w:uiPriority w:val="0"/>
  </w:style>
  <w:style w:type="character" w:customStyle="1" w:styleId="39">
    <w:name w:val="label"/>
    <w:uiPriority w:val="0"/>
  </w:style>
  <w:style w:type="character" w:customStyle="1" w:styleId="40">
    <w:name w:val="results_summary description"/>
    <w:qFormat/>
    <w:uiPriority w:val="0"/>
  </w:style>
  <w:style w:type="character" w:customStyle="1" w:styleId="4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2">
    <w:name w:val="_Style 41"/>
    <w:basedOn w:val="2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863</Words>
  <Characters>4922</Characters>
  <Lines>41</Lines>
  <Paragraphs>11</Paragraphs>
  <TotalTime>1</TotalTime>
  <ScaleCrop>false</ScaleCrop>
  <LinksUpToDate>false</LinksUpToDate>
  <CharactersWithSpaces>5774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2022-09-01T10:08:00Z</dcterms:created>
  <dc:creator>Asus</dc:creator>
  <cp:lastModifiedBy>Ольга Протасенко</cp:lastModifiedBy>
  <dcterms:modified xsi:type="dcterms:W3CDTF">2024-05-20T09:55:25Z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