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Силабус навчальної дисципліни</w:t>
      </w:r>
    </w:p>
    <w:p>
      <w:pPr>
        <w:spacing w:line="221" w:lineRule="auto"/>
        <w:ind w:left="-200" w:leftChars="-100" w:firstLine="0" w:firstLineChars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«Вс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туп до фаху»</w:t>
      </w:r>
    </w:p>
    <w:p>
      <w:pPr>
        <w:spacing w:line="221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6"/>
        <w:tblW w:w="9680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994"/>
      </w:tblGrid>
      <w:tr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Перший (бакалаврський )рівень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Обов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язкова</w:t>
            </w:r>
          </w:p>
        </w:tc>
      </w:tr>
      <w:tr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Українська</w:t>
            </w:r>
          </w:p>
        </w:tc>
      </w:tr>
      <w:tr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урс,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семестр</w:t>
            </w:r>
          </w:p>
        </w:tc>
      </w:tr>
      <w:tr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 ЄКТС</w:t>
            </w:r>
          </w:p>
        </w:tc>
      </w:tr>
      <w:tr>
        <w:trPr>
          <w:trHeight w:val="286" w:hRule="atLeast"/>
        </w:trPr>
        <w:tc>
          <w:tcPr>
            <w:tcW w:w="3686" w:type="dxa"/>
            <w:vMerge w:val="restart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Лекції – 24 год.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Лабораторні – 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97" w:hRule="atLeast"/>
        </w:trPr>
        <w:tc>
          <w:tcPr>
            <w:tcW w:w="3686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Практичні (семінарські) – 20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86" w:hRule="atLeast"/>
        </w:trPr>
        <w:tc>
          <w:tcPr>
            <w:tcW w:w="3686" w:type="dxa"/>
            <w:vMerge w:val="continue"/>
          </w:tcPr>
          <w:p>
            <w:pPr>
              <w:widowControl w:val="0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Самостійна робота – 72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5994" w:type="dxa"/>
          </w:tcPr>
          <w:p>
            <w:pPr>
              <w:spacing w:line="22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Залік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994" w:type="dxa"/>
          </w:tcPr>
          <w:p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сайт кафедри: </w:t>
            </w:r>
            <w:r>
              <w:fldChar w:fldCharType="begin"/>
            </w:r>
            <w:r>
              <w:instrText xml:space="preserve"> HYPERLINK "http://kafgrb.hneu.edu.ua/"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http://kafgrb.hneu.edu.ua/</w:t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5994" w:type="dxa"/>
          </w:tcPr>
          <w:p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Жуков Владлен Валерійович, к.е.н., доцент;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5994" w:type="dxa"/>
            <w:vAlign w:val="center"/>
          </w:tcPr>
          <w:p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vladlen.zhukov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@hneu.net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rPr>
          <w:trHeight w:val="615" w:hRule="atLeast"/>
        </w:trPr>
        <w:tc>
          <w:tcPr>
            <w:tcW w:w="3686" w:type="dxa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5994" w:type="dxa"/>
          </w:tcPr>
          <w:p>
            <w:pPr>
              <w:spacing w:line="216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Лекц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іі: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fldChar w:fldCharType="begin"/>
            </w:r>
            <w:r>
              <w:instrText xml:space="preserve"> HYPERLINK "http://rozklad.hneu.edu.ua/schedule/schedule?employee=432664"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згідно діючого розкладу занять</w:t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fldChar w:fldCharType="end"/>
            </w:r>
          </w:p>
          <w:p>
            <w:pPr>
              <w:spacing w:line="216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</w:t>
            </w:r>
            <w:r>
              <w:fldChar w:fldCharType="begin"/>
            </w:r>
            <w:r>
              <w:instrText xml:space="preserve"> HYPERLINK "http://rozklad.hneu.edu.ua/schedule/schedule?employee=432664" </w:instrText>
            </w:r>
            <w: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Style w:val="17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згідно діючого розкладу занять</w:t>
            </w:r>
            <w:r>
              <w:rPr>
                <w:rStyle w:val="17"/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</w:p>
        </w:tc>
      </w:tr>
      <w:tr>
        <w:trPr>
          <w:trHeight w:val="572" w:hRule="atLeast"/>
        </w:trPr>
        <w:tc>
          <w:tcPr>
            <w:tcW w:w="3686" w:type="dxa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5994" w:type="dxa"/>
          </w:tcPr>
          <w:p>
            <w:pPr>
              <w:pStyle w:val="38"/>
              <w:shd w:val="clear" w:color="auto" w:fill="auto"/>
              <w:spacing w:line="216" w:lineRule="auto"/>
              <w:jc w:val="both"/>
              <w:rPr>
                <w:i/>
                <w:i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/>
              </w:rPr>
              <w:t>На кафедрі готельного і ресторанного бізнесу, очні, відповідно до графіку консультацій, індивідуальні, чат в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925" w:hRule="atLeast"/>
        </w:trPr>
        <w:tc>
          <w:tcPr>
            <w:tcW w:w="9680" w:type="dxa"/>
            <w:gridSpan w:val="2"/>
          </w:tcPr>
          <w:p>
            <w:pPr>
              <w:spacing w:before="72" w:beforeLines="30" w:line="216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навчальної дисципліни: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формування у здобувачів вищої освіти умінь і навичок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 обраний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ними фах, системи знань про сутність і зміст освітньої програми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Ресторанні та крафтові харчові технології</w:t>
            </w:r>
            <w:r>
              <w:rPr>
                <w:iCs/>
              </w:rPr>
              <w:t>»</w:t>
            </w:r>
          </w:p>
        </w:tc>
      </w:tr>
      <w:tr>
        <w:trPr>
          <w:trHeight w:val="259" w:hRule="atLeast"/>
        </w:trPr>
        <w:tc>
          <w:tcPr>
            <w:tcW w:w="9680" w:type="dxa"/>
            <w:gridSpan w:val="2"/>
          </w:tcPr>
          <w:p>
            <w:pPr>
              <w:spacing w:before="72" w:beforeLines="30" w:after="72" w:afterLines="30" w:line="21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rPr>
                <w:trHeight w:val="316" w:hRule="atLeast"/>
              </w:trPr>
              <w:tc>
                <w:tcPr>
                  <w:tcW w:w="4838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spacing w:line="216" w:lineRule="auto"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</w:tcPr>
                <w:p>
                  <w:pPr>
                    <w:widowControl w:val="0"/>
                    <w:tabs>
                      <w:tab w:val="left" w:pos="624"/>
                    </w:tabs>
                    <w:suppressAutoHyphens/>
                    <w:spacing w:line="216" w:lineRule="auto"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</w:tcPr>
                <w:p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Всесвітня історія</w:t>
                  </w:r>
                </w:p>
              </w:tc>
              <w:tc>
                <w:tcPr>
                  <w:tcW w:w="4762" w:type="dxa"/>
                </w:tcPr>
                <w:p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Організація готельного господарства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</w:tcPr>
                <w:p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Основи гостинності</w:t>
                  </w:r>
                </w:p>
              </w:tc>
              <w:tc>
                <w:tcPr>
                  <w:tcW w:w="4762" w:type="dxa"/>
                </w:tcPr>
                <w:p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Традиції та культура харчування народів світу</w:t>
                  </w:r>
                </w:p>
              </w:tc>
            </w:tr>
          </w:tbl>
          <w:p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spacing w:line="216" w:lineRule="auto"/>
              <w:ind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Змістовий модуль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Організація, контроль та оцінювання навчальних досягнень</w:t>
            </w:r>
            <w:r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студентів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Харківського</w:t>
            </w:r>
            <w:r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національного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економічного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університету</w:t>
            </w:r>
            <w:r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ім. С.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Кузнеця в контексті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ar-BH"/>
              </w:rPr>
              <w:t>вимог Європейського освітнього простору вищої освіти</w:t>
            </w:r>
          </w:p>
          <w:p>
            <w:pPr>
              <w:pStyle w:val="8"/>
              <w:spacing w:line="216" w:lineRule="auto"/>
              <w:ind w:right="61"/>
              <w:jc w:val="both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Тема 1.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Тенденції</w:t>
            </w:r>
            <w:r>
              <w:rPr>
                <w:b/>
                <w:spacing w:val="43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розвитку</w:t>
            </w:r>
            <w:r>
              <w:rPr>
                <w:b/>
                <w:spacing w:val="39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та</w:t>
            </w:r>
            <w:r>
              <w:rPr>
                <w:b/>
                <w:spacing w:val="48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забезпечення</w:t>
            </w:r>
            <w:r>
              <w:rPr>
                <w:b/>
                <w:spacing w:val="48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якості</w:t>
            </w:r>
            <w:r>
              <w:rPr>
                <w:b/>
                <w:spacing w:val="40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вищої</w:t>
            </w:r>
            <w:r>
              <w:rPr>
                <w:b/>
                <w:spacing w:val="40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освіти</w:t>
            </w:r>
            <w:r>
              <w:rPr>
                <w:b/>
                <w:spacing w:val="48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Харківського</w:t>
            </w:r>
            <w:r>
              <w:rPr>
                <w:b/>
                <w:spacing w:val="-57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національного</w:t>
            </w:r>
            <w:r>
              <w:rPr>
                <w:b/>
                <w:spacing w:val="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економічного</w:t>
            </w:r>
            <w:r>
              <w:rPr>
                <w:b/>
                <w:spacing w:val="6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університету</w:t>
            </w:r>
            <w:r>
              <w:rPr>
                <w:b/>
                <w:spacing w:val="-6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імені</w:t>
            </w:r>
            <w:r>
              <w:rPr>
                <w:b/>
                <w:spacing w:val="3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Семена</w:t>
            </w:r>
            <w:r>
              <w:rPr>
                <w:b/>
                <w:spacing w:val="3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Кузнеця</w:t>
            </w:r>
          </w:p>
          <w:p>
            <w:pPr>
              <w:pStyle w:val="8"/>
              <w:spacing w:line="216" w:lineRule="auto"/>
              <w:ind w:right="61"/>
              <w:jc w:val="both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Тема 2. </w:t>
            </w:r>
            <w:r>
              <w:rPr>
                <w:b/>
                <w:lang w:val="uk-UA"/>
              </w:rPr>
              <w:t>Предмет,</w:t>
            </w:r>
            <w:r>
              <w:rPr>
                <w:b/>
                <w:spacing w:val="-3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мета</w:t>
            </w:r>
            <w:r>
              <w:rPr>
                <w:b/>
                <w:spacing w:val="-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і</w:t>
            </w:r>
            <w:r>
              <w:rPr>
                <w:b/>
                <w:spacing w:val="-10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завдання навчальної</w:t>
            </w:r>
            <w:r>
              <w:rPr>
                <w:b/>
                <w:spacing w:val="-10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дисципліни «Вступ</w:t>
            </w:r>
            <w:r>
              <w:rPr>
                <w:b/>
                <w:spacing w:val="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до</w:t>
            </w:r>
            <w:r>
              <w:rPr>
                <w:b/>
                <w:spacing w:val="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фаху»</w:t>
            </w:r>
          </w:p>
          <w:p>
            <w:pPr>
              <w:pStyle w:val="8"/>
              <w:spacing w:line="216" w:lineRule="auto"/>
              <w:ind w:right="61"/>
              <w:jc w:val="both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Тема 3. </w:t>
            </w:r>
            <w:r>
              <w:rPr>
                <w:b/>
                <w:lang w:val="uk-UA"/>
              </w:rPr>
              <w:t>Організація,</w:t>
            </w:r>
            <w:r>
              <w:rPr>
                <w:b/>
                <w:spacing w:val="13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контроль</w:t>
            </w:r>
            <w:r>
              <w:rPr>
                <w:b/>
                <w:spacing w:val="1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та</w:t>
            </w:r>
            <w:r>
              <w:rPr>
                <w:b/>
                <w:spacing w:val="5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оцінювання</w:t>
            </w:r>
            <w:r>
              <w:rPr>
                <w:b/>
                <w:spacing w:val="10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навчального</w:t>
            </w:r>
            <w:r>
              <w:rPr>
                <w:b/>
                <w:spacing w:val="8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процесу</w:t>
            </w:r>
            <w:r>
              <w:rPr>
                <w:b/>
                <w:spacing w:val="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студентів</w:t>
            </w:r>
            <w:r>
              <w:rPr>
                <w:b/>
                <w:spacing w:val="-57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Харківського національного</w:t>
            </w:r>
            <w:r>
              <w:rPr>
                <w:b/>
                <w:spacing w:val="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економічного</w:t>
            </w:r>
            <w:r>
              <w:rPr>
                <w:b/>
                <w:spacing w:val="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університету</w:t>
            </w:r>
            <w:r>
              <w:rPr>
                <w:b/>
                <w:spacing w:val="-7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імені</w:t>
            </w:r>
            <w:r>
              <w:rPr>
                <w:b/>
                <w:spacing w:val="-3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Семена Кузнеця</w:t>
            </w:r>
          </w:p>
          <w:p>
            <w:pPr>
              <w:pStyle w:val="8"/>
              <w:spacing w:line="216" w:lineRule="auto"/>
              <w:ind w:right="61"/>
              <w:jc w:val="both"/>
              <w:outlineLvl w:val="0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Тема 4. </w:t>
            </w:r>
            <w:r>
              <w:rPr>
                <w:b/>
                <w:lang w:val="uk-UA"/>
              </w:rPr>
              <w:t>Організація</w:t>
            </w:r>
            <w:r>
              <w:rPr>
                <w:b/>
                <w:spacing w:val="-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науково-дослідної</w:t>
            </w:r>
            <w:r>
              <w:rPr>
                <w:b/>
                <w:spacing w:val="-10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роботи</w:t>
            </w:r>
            <w:r>
              <w:rPr>
                <w:b/>
                <w:spacing w:val="-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студентів</w:t>
            </w:r>
          </w:p>
          <w:p>
            <w:pPr>
              <w:pStyle w:val="8"/>
              <w:spacing w:line="216" w:lineRule="auto"/>
              <w:jc w:val="both"/>
              <w:rPr>
                <w:b/>
                <w:spacing w:val="7"/>
                <w:lang w:val="uk-UA"/>
              </w:rPr>
            </w:pPr>
            <w:r>
              <w:rPr>
                <w:b/>
                <w:color w:val="000000"/>
                <w:lang w:val="uk-UA"/>
              </w:rPr>
              <w:t>Тема 5.</w:t>
            </w:r>
            <w:r>
              <w:rPr>
                <w:b/>
                <w:lang w:val="uk-UA"/>
              </w:rPr>
              <w:t xml:space="preserve"> Кодекс</w:t>
            </w:r>
            <w:r>
              <w:rPr>
                <w:b/>
                <w:spacing w:val="2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академічної</w:t>
            </w:r>
            <w:r>
              <w:rPr>
                <w:b/>
                <w:spacing w:val="-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доброчесності</w:t>
            </w:r>
            <w:r>
              <w:rPr>
                <w:b/>
                <w:spacing w:val="-5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Харківського</w:t>
            </w:r>
            <w:r>
              <w:rPr>
                <w:b/>
                <w:spacing w:val="2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національного</w:t>
            </w:r>
            <w:r>
              <w:rPr>
                <w:b/>
                <w:spacing w:val="7"/>
                <w:lang w:val="uk-UA"/>
              </w:rPr>
              <w:t xml:space="preserve"> е</w:t>
            </w:r>
            <w:r>
              <w:rPr>
                <w:b/>
                <w:lang w:val="uk-UA"/>
              </w:rPr>
              <w:t xml:space="preserve">кономічного </w:t>
            </w:r>
            <w:r>
              <w:rPr>
                <w:b/>
                <w:spacing w:val="-57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університету</w:t>
            </w:r>
            <w:r>
              <w:rPr>
                <w:b/>
                <w:spacing w:val="-5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імені</w:t>
            </w:r>
            <w:r>
              <w:rPr>
                <w:b/>
                <w:spacing w:val="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Семена</w:t>
            </w:r>
            <w:r>
              <w:rPr>
                <w:b/>
                <w:spacing w:val="4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Кузнеця</w:t>
            </w:r>
          </w:p>
          <w:p>
            <w:pPr>
              <w:spacing w:line="216" w:lineRule="auto"/>
              <w:ind w:right="61"/>
              <w:rPr>
                <w:rFonts w:ascii="Times New Roman" w:hAnsi="Times New Roman" w:cs="Times New Roman"/>
                <w:i/>
                <w:spacing w:val="-57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Змістовий модуль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</w:rPr>
              <w:t>Загальна характеристика та організація підготовки сучасного</w:t>
            </w:r>
            <w:r>
              <w:rPr>
                <w:rFonts w:ascii="Times New Roman" w:hAnsi="Times New Roman" w:cs="Times New Roman"/>
                <w:i/>
                <w:spacing w:val="-57"/>
                <w:sz w:val="24"/>
              </w:rPr>
              <w:t xml:space="preserve">      </w:t>
            </w:r>
          </w:p>
          <w:p>
            <w:pPr>
              <w:spacing w:line="216" w:lineRule="auto"/>
              <w:ind w:right="6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фахівця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ресторанного бізнесу</w:t>
            </w:r>
          </w:p>
          <w:p>
            <w:pPr>
              <w:pStyle w:val="8"/>
              <w:spacing w:line="216" w:lineRule="auto"/>
              <w:rPr>
                <w:b/>
                <w:spacing w:val="-3"/>
                <w:lang w:val="uk-UA"/>
              </w:rPr>
            </w:pPr>
            <w:r>
              <w:rPr>
                <w:b/>
                <w:color w:val="000000"/>
                <w:lang w:val="uk-UA"/>
              </w:rPr>
              <w:t>Тема 6.</w:t>
            </w:r>
            <w:r>
              <w:rPr>
                <w:b/>
                <w:color w:val="FF0000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Підприємницька діяльність</w:t>
            </w:r>
          </w:p>
          <w:p>
            <w:pPr>
              <w:spacing w:line="216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Підприємства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середнього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бізнесу </w:t>
            </w:r>
          </w:p>
          <w:p>
            <w:pPr>
              <w:pStyle w:val="8"/>
              <w:spacing w:line="216" w:lineRule="auto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8. Проектування</w:t>
            </w:r>
            <w:r>
              <w:rPr>
                <w:b/>
                <w:spacing w:val="-2"/>
                <w:lang w:val="uk-UA"/>
              </w:rPr>
              <w:t xml:space="preserve"> </w:t>
            </w:r>
            <w:r>
              <w:rPr>
                <w:b/>
                <w:lang w:val="uk-UA"/>
              </w:rPr>
              <w:t>професійного</w:t>
            </w:r>
            <w:r>
              <w:rPr>
                <w:b/>
                <w:spacing w:val="-1"/>
                <w:lang w:val="uk-UA"/>
              </w:rPr>
              <w:t xml:space="preserve"> </w:t>
            </w:r>
            <w:r>
              <w:rPr>
                <w:b/>
                <w:lang w:val="uk-UA"/>
              </w:rPr>
              <w:t>успіху</w:t>
            </w:r>
          </w:p>
          <w:p>
            <w:pPr>
              <w:pStyle w:val="31"/>
              <w:tabs>
                <w:tab w:val="left" w:pos="2163"/>
              </w:tabs>
              <w:spacing w:line="216" w:lineRule="auto"/>
              <w:ind w:left="0" w:right="943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Тема 9. Місце</w:t>
            </w:r>
            <w:r>
              <w:rPr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маркетингу</w:t>
            </w:r>
            <w:r>
              <w:rPr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у</w:t>
            </w:r>
            <w:r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сучасному</w:t>
            </w:r>
            <w:r>
              <w:rPr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бізнесі</w:t>
            </w:r>
          </w:p>
          <w:p>
            <w:pPr>
              <w:pStyle w:val="8"/>
              <w:spacing w:line="216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b/>
                <w:lang w:val="uk-UA"/>
              </w:rPr>
              <w:t>Тема 10. Підприємства ресторанного бізнесу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30" w:hRule="atLeast"/>
        </w:trPr>
        <w:tc>
          <w:tcPr>
            <w:tcW w:w="968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c>
          <w:tcPr>
            <w:tcW w:w="9680" w:type="dxa"/>
            <w:gridSpan w:val="2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лекційних і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>
            <w:pPr>
              <w:widowControl w:val="0"/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68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76" w:hRule="atLeast"/>
        </w:trPr>
        <w:tc>
          <w:tcPr>
            <w:tcW w:w="9680" w:type="dxa"/>
            <w:gridSpan w:val="2"/>
            <w:vMerge w:val="continu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1005" w:hRule="atLeast"/>
        </w:trPr>
        <w:tc>
          <w:tcPr>
            <w:tcW w:w="9680" w:type="dxa"/>
            <w:gridSpan w:val="2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</w:t>
            </w:r>
          </w:p>
        </w:tc>
      </w:tr>
    </w:tbl>
    <w:p>
      <w:pPr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624"/>
        </w:tabs>
        <w:suppressAutoHyphens/>
        <w:ind w:leftChars="-1" w:right="625" w:hanging="2" w:hangingChars="1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rPr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-13970</wp:posOffset>
          </wp:positionV>
          <wp:extent cx="692150" cy="571500"/>
          <wp:effectExtent l="0" t="0" r="0" b="12065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rcRect t="8728" b="7707"/>
                  <a:stretch>
                    <a:fillRect/>
                  </a:stretch>
                </pic:blipFill>
                <pic:spPr>
                  <a:xfrm>
                    <a:off x="0" y="0"/>
                    <a:ext cx="692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471D"/>
    <w:rsid w:val="0033711C"/>
    <w:rsid w:val="0036278D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5AB4"/>
    <w:rsid w:val="005379AB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96B11"/>
    <w:rsid w:val="005A4A51"/>
    <w:rsid w:val="005A55F5"/>
    <w:rsid w:val="005B414A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3BBA"/>
    <w:rsid w:val="00676F45"/>
    <w:rsid w:val="00677116"/>
    <w:rsid w:val="0068236B"/>
    <w:rsid w:val="00683E22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0239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72B1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54FE5"/>
    <w:rsid w:val="00F84D18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56FDDCA6"/>
    <w:rsid w:val="5ABB19F1"/>
    <w:rsid w:val="5EBA7580"/>
    <w:rsid w:val="5F3F72C1"/>
    <w:rsid w:val="67F5C758"/>
    <w:rsid w:val="77FB1B39"/>
    <w:rsid w:val="77FF78F4"/>
    <w:rsid w:val="7A7E0C67"/>
    <w:rsid w:val="7B23B53B"/>
    <w:rsid w:val="7DFBE58C"/>
    <w:rsid w:val="7EF4D648"/>
    <w:rsid w:val="7EFBF833"/>
    <w:rsid w:val="7F5B7B0B"/>
    <w:rsid w:val="7FABA157"/>
    <w:rsid w:val="8CCDF8E5"/>
    <w:rsid w:val="B7F970D5"/>
    <w:rsid w:val="BDAF8DB5"/>
    <w:rsid w:val="BFEEA06A"/>
    <w:rsid w:val="DD9DF1F0"/>
    <w:rsid w:val="E6DFFBA8"/>
    <w:rsid w:val="EBDF5C80"/>
    <w:rsid w:val="F77B0A08"/>
    <w:rsid w:val="F7FFAE0F"/>
    <w:rsid w:val="FF7A707C"/>
    <w:rsid w:val="FF7F1C25"/>
    <w:rsid w:val="FFEE1EBF"/>
    <w:rsid w:val="FFEF0511"/>
    <w:rsid w:val="FFF7B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3"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5"/>
    <w:unhideWhenUsed/>
    <w:qFormat/>
    <w:uiPriority w:val="99"/>
    <w:pPr>
      <w:spacing w:after="120" w:line="480" w:lineRule="auto"/>
    </w:p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6"/>
    <w:unhideWhenUsed/>
    <w:qFormat/>
    <w:uiPriority w:val="99"/>
  </w:style>
  <w:style w:type="paragraph" w:styleId="12">
    <w:name w:val="annotation subject"/>
    <w:basedOn w:val="11"/>
    <w:next w:val="11"/>
    <w:link w:val="27"/>
    <w:unhideWhenUsed/>
    <w:qFormat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unhideWhenUsed/>
    <w:qFormat/>
    <w:uiPriority w:val="99"/>
    <w:rPr>
      <w:color w:val="954F72"/>
      <w:u w:val="single"/>
    </w:r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29"/>
    <w:unhideWhenUsed/>
    <w:qFormat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table" w:styleId="18">
    <w:name w:val="Table Grid"/>
    <w:basedOn w:val="6"/>
    <w:qFormat/>
    <w:uiPriority w:val="39"/>
    <w:rPr>
      <w:rFonts w:ascii="Calibri" w:hAnsi="Calibri" w:cs="Arial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30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character" w:customStyle="1" w:styleId="20">
    <w:name w:val="Заголовок 1 Знак"/>
    <w:link w:val="2"/>
    <w:qFormat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3"/>
    <w:qFormat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2">
    <w:name w:val="Заголовок 3 Знак"/>
    <w:link w:val="4"/>
    <w:qFormat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3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  <w:lang w:eastAsia="uk-UA"/>
    </w:rPr>
  </w:style>
  <w:style w:type="character" w:customStyle="1" w:styleId="24">
    <w:name w:val="Основной текст Знак"/>
    <w:link w:val="8"/>
    <w:qFormat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5">
    <w:name w:val="Основной текст 2 Знак"/>
    <w:link w:val="9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6">
    <w:name w:val="Текст примечания Знак"/>
    <w:link w:val="11"/>
    <w:semiHidden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7">
    <w:name w:val="Тема примечания Знак"/>
    <w:link w:val="12"/>
    <w:semiHidden/>
    <w:qFormat/>
    <w:uiPriority w:val="99"/>
    <w:rPr>
      <w:rFonts w:ascii="Calibri" w:hAnsi="Calibri" w:cs="Arial"/>
      <w:b/>
      <w:bCs/>
      <w:sz w:val="20"/>
      <w:szCs w:val="20"/>
      <w:lang w:eastAsia="uk-UA"/>
    </w:rPr>
  </w:style>
  <w:style w:type="character" w:customStyle="1" w:styleId="28">
    <w:name w:val="Нижний колонтитул Знак"/>
    <w:link w:val="15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9">
    <w:name w:val="Верхний колонтитул Знак"/>
    <w:link w:val="16"/>
    <w:qFormat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0">
    <w:name w:val="Заголовок Знак"/>
    <w:link w:val="19"/>
    <w:qFormat/>
    <w:uiPriority w:val="0"/>
    <w:rPr>
      <w:rFonts w:eastAsia="Times New Roman"/>
      <w:sz w:val="36"/>
      <w:szCs w:val="20"/>
      <w:lang w:val="ru-RU" w:eastAsia="ru-RU"/>
    </w:rPr>
  </w:style>
  <w:style w:type="paragraph" w:styleId="31">
    <w:name w:val="List Paragraph"/>
    <w:basedOn w:val="1"/>
    <w:qFormat/>
    <w:uiPriority w:val="99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32">
    <w:name w:val="rvts0"/>
    <w:qFormat/>
    <w:uiPriority w:val="0"/>
  </w:style>
  <w:style w:type="character" w:customStyle="1" w:styleId="33">
    <w:name w:val="Основний текст_"/>
    <w:link w:val="34"/>
    <w:qFormat/>
    <w:uiPriority w:val="99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4">
    <w:name w:val="Основний текст1"/>
    <w:basedOn w:val="1"/>
    <w:link w:val="33"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5">
    <w:name w:val="Основний текст (2)_"/>
    <w:link w:val="36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6">
    <w:name w:val="Основний текст (2)"/>
    <w:basedOn w:val="1"/>
    <w:link w:val="35"/>
    <w:qFormat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customStyle="1" w:styleId="37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paragraph" w:customStyle="1" w:styleId="38">
    <w:name w:val="Основний текст"/>
    <w:basedOn w:val="1"/>
    <w:qFormat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sz w:val="27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2</Pages>
  <Words>678</Words>
  <Characters>3869</Characters>
  <Lines>32</Lines>
  <Paragraphs>9</Paragraphs>
  <TotalTime>40</TotalTime>
  <ScaleCrop>false</ScaleCrop>
  <LinksUpToDate>false</LinksUpToDate>
  <CharactersWithSpaces>4538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2024-01-07T19:13:00Z</dcterms:created>
  <dc:creator>Методический отдел</dc:creator>
  <cp:lastModifiedBy>Ольга Протасенко</cp:lastModifiedBy>
  <cp:lastPrinted>2020-08-28T17:01:00Z</cp:lastPrinted>
  <dcterms:modified xsi:type="dcterms:W3CDTF">2024-05-19T20:46:31Z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