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«Українська мова (за професійним спрямуванням)»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Обов’язкова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курс, 1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 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– 42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заняття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</w:tcPr>
          <w:p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46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>
            <w:pPr>
              <w:pStyle w:val="18"/>
              <w:shd w:val="clear" w:color="auto" w:fill="FFFFFF"/>
              <w:textAlignment w:val="baseline"/>
              <w:rPr>
                <w:i/>
              </w:rPr>
            </w:pPr>
            <w:r>
              <w:rPr>
                <w:i/>
              </w:rPr>
              <w:t xml:space="preserve">Кафедра українознавства і мовної підготовки іноземних громадян, ауд.203 (1 корпус), </w:t>
            </w:r>
          </w:p>
          <w:p>
            <w:pPr>
              <w:pStyle w:val="18"/>
              <w:shd w:val="clear" w:color="auto" w:fill="FFFFFF"/>
              <w:textAlignment w:val="baseline"/>
              <w:rPr>
                <w:i/>
              </w:rPr>
            </w:pPr>
            <w:r>
              <w:rPr>
                <w:rFonts w:ascii="Times New Roman Italic" w:hAnsi="Times New Roman Italic"/>
                <w:i/>
                <w:spacing w:val="-6"/>
              </w:rPr>
              <w:t xml:space="preserve">сайт кафедри: </w:t>
            </w:r>
            <w:r>
              <w:fldChar w:fldCharType="begin"/>
            </w:r>
            <w:r>
              <w:instrText xml:space="preserve"> HYPERLINK "http://www.fsf.hneu.edu.ua/?cat=26" </w:instrText>
            </w:r>
            <w:r>
              <w:fldChar w:fldCharType="separate"/>
            </w:r>
            <w:r>
              <w:rPr>
                <w:i/>
                <w:u w:val="single"/>
                <w:shd w:val="clear" w:color="auto" w:fill="FFFFFF"/>
              </w:rPr>
              <w:t>http://www.fsf.hneu.edu.ua/</w:t>
            </w:r>
            <w:r>
              <w:rPr>
                <w:i/>
                <w:u w:val="single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Сухенко Вікторія Григорівна, доцент, к. філол. 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39"/>
                <w:rFonts w:ascii="Times New Roman" w:hAnsi="Times New Roman" w:cs="Times New Roman"/>
                <w:i/>
                <w:iCs/>
                <w:sz w:val="24"/>
                <w:szCs w:val="24"/>
              </w:rPr>
              <w:t>viktoriya.suhenko@hneu.net</w:t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5" w:hRule="atLeast"/>
        </w:trPr>
        <w:tc>
          <w:tcPr>
            <w:tcW w:w="3686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"http://rozklad.hneu.edu.ua/schedule/schedule?employee=439392"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з чинним розкладом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"http://rozklad.hneu.edu.ua/schedule/schedule?employee=439392"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згідно з чинним розкладом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72" w:hRule="atLeast"/>
        </w:trP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19" w:hRule="atLeast"/>
        </w:trPr>
        <w:tc>
          <w:tcPr>
            <w:tcW w:w="9781" w:type="dxa"/>
            <w:gridSpan w:val="2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навчальної дисципліни ‒ формування комунікативної компетентності здобувачів вищої освіти; набуття комунікативного досвіду, що сприяє розвиткові креативних здібностей та спонукає до самореалізації фахівців, активізує пізнавальні інтереси, реалізує евристичні здібності як визначальні для формування професійної майстерності та конкурентоздатності сучасного фахівця; вироблення навичок мовної поведінки в професійній сфері: уплив на співрозмовника за допомогою вмілого послуговування різноманітними мовними засобами, оволодіння культурою монологу, діалогу та полілогу; сприйняття й відтворення фахових текстів, засвоєння лексики та термінології свого фаху, вибір комунікативно виправданих мовних засобів, послуговування різними типами словників.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538" w:hRule="atLeast"/>
        </w:trPr>
        <w:tc>
          <w:tcPr>
            <w:tcW w:w="9781" w:type="dxa"/>
            <w:gridSpan w:val="2"/>
          </w:tcPr>
          <w:p>
            <w:pPr>
              <w:spacing w:before="72" w:beforeLines="30" w:after="72" w:afterLines="3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c>
                <w:tcPr>
                  <w:tcW w:w="4838" w:type="dxa"/>
                </w:tcPr>
                <w:p>
                  <w:pPr>
                    <w:pStyle w:val="32"/>
                    <w:tabs>
                      <w:tab w:val="left" w:pos="624"/>
                    </w:tabs>
                    <w:ind w:left="0" w:right="625" w:firstLine="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Українська мова та література </w:t>
                  </w:r>
                </w:p>
                <w:p>
                  <w:pPr>
                    <w:widowControl w:val="0"/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(шкільний курс)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  <w:t>Науково-дослідна практика</w:t>
                  </w:r>
                </w:p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  <w:t>Дипломна робота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90" w:hRule="atLeast"/>
        </w:trPr>
        <w:tc>
          <w:tcPr>
            <w:tcW w:w="9781" w:type="dxa"/>
            <w:gridSpan w:val="2"/>
          </w:tcPr>
          <w:p>
            <w:pPr>
              <w:spacing w:after="6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Державна мова в професійному спілкуванні.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Нормативний аспект культури професійної мови.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Граматичні та орфографічні  норми: їх реалізація в професійному мовленні.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 4.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Стилі сучасної української літературної мови в професійному спілкуванні.</w:t>
            </w:r>
            <w:r>
              <w:rPr>
                <w:rFonts w:ascii="Arial" w:hAnsi="Arial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Науковий стиль мови.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Наукова робота як жанр наукової комунікації.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Українська термінологія в професійному спілкуванні.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218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Українська термінографія в професійному спілкуванні.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Ділові папери як засіб писемної професійної комунікації.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Культура усного фахового спілкування.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Риторика і мистецтво презентації.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 С. 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100-бальну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й оцінюється сумою набраних балів.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містить семестровий контроль, який проводиться у формі диференційованого заліку.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охоплює такі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widowControl w:val="0"/>
        <w:tabs>
          <w:tab w:val="left" w:pos="624"/>
        </w:tabs>
        <w:suppressAutoHyphens/>
        <w:ind w:right="625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-66040</wp:posOffset>
          </wp:positionV>
          <wp:extent cx="632460" cy="572770"/>
          <wp:effectExtent l="0" t="0" r="0" b="1016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8333"/>
                  <a:stretch>
                    <a:fillRect/>
                  </a:stretch>
                </pic:blipFill>
                <pic:spPr>
                  <a:xfrm>
                    <a:off x="0" y="0"/>
                    <a:ext cx="6324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63F6A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44AB"/>
    <w:rsid w:val="008D6928"/>
    <w:rsid w:val="008D693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3376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57E"/>
    <w:rsid w:val="00F149C6"/>
    <w:rsid w:val="00F15AE7"/>
    <w:rsid w:val="00F15D95"/>
    <w:rsid w:val="00F2153C"/>
    <w:rsid w:val="00F23223"/>
    <w:rsid w:val="00F304E8"/>
    <w:rsid w:val="00F3097B"/>
    <w:rsid w:val="00F33117"/>
    <w:rsid w:val="00F3391F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4BFE85D8"/>
    <w:rsid w:val="56FDDCA6"/>
    <w:rsid w:val="5EBA7580"/>
    <w:rsid w:val="5F3F72C1"/>
    <w:rsid w:val="67F5C758"/>
    <w:rsid w:val="77FB1B39"/>
    <w:rsid w:val="77FF78F4"/>
    <w:rsid w:val="7A7E0C67"/>
    <w:rsid w:val="7BE7DCD6"/>
    <w:rsid w:val="7DFBE58C"/>
    <w:rsid w:val="7EF4D648"/>
    <w:rsid w:val="7EFBF833"/>
    <w:rsid w:val="7F5B7B0B"/>
    <w:rsid w:val="7FABA157"/>
    <w:rsid w:val="8CCDF8E5"/>
    <w:rsid w:val="B7F970D5"/>
    <w:rsid w:val="BDAF8DB5"/>
    <w:rsid w:val="BFBB475B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4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5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6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7"/>
    <w:unhideWhenUsed/>
    <w:qFormat/>
    <w:uiPriority w:val="99"/>
  </w:style>
  <w:style w:type="paragraph" w:styleId="12">
    <w:name w:val="annotation subject"/>
    <w:basedOn w:val="11"/>
    <w:next w:val="11"/>
    <w:link w:val="28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30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0"/>
    <w:rPr>
      <w:color w:val="0000FF"/>
      <w:u w:val="single"/>
    </w:rPr>
  </w:style>
  <w:style w:type="paragraph" w:styleId="18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table" w:styleId="19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20">
    <w:name w:val="Title"/>
    <w:basedOn w:val="1"/>
    <w:link w:val="31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1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3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4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5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6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кст примітки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8">
    <w:name w:val="Тема примітки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9">
    <w:name w:val="Нижні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Верхні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1">
    <w:name w:val="Назва Знак"/>
    <w:link w:val="20"/>
    <w:qFormat/>
    <w:uiPriority w:val="0"/>
    <w:rPr>
      <w:rFonts w:eastAsia="Times New Roman"/>
      <w:sz w:val="36"/>
      <w:szCs w:val="20"/>
      <w:lang w:val="ru-RU" w:eastAsia="ru-RU"/>
    </w:rPr>
  </w:style>
  <w:style w:type="paragraph" w:styleId="32">
    <w:name w:val="List Paragraph"/>
    <w:basedOn w:val="1"/>
    <w:qFormat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3">
    <w:name w:val="rvts0"/>
    <w:qFormat/>
    <w:uiPriority w:val="0"/>
  </w:style>
  <w:style w:type="character" w:customStyle="1" w:styleId="34">
    <w:name w:val="Основний текст_"/>
    <w:link w:val="35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5">
    <w:name w:val="Основний текст1"/>
    <w:basedOn w:val="1"/>
    <w:link w:val="34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6">
    <w:name w:val="Основний текст (2)_"/>
    <w:link w:val="37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7">
    <w:name w:val="Основний текст (2)"/>
    <w:basedOn w:val="1"/>
    <w:link w:val="36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39">
    <w:name w:val="go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1</Pages>
  <Words>691</Words>
  <Characters>3939</Characters>
  <Lines>32</Lines>
  <Paragraphs>9</Paragraphs>
  <TotalTime>2</TotalTime>
  <ScaleCrop>false</ScaleCrop>
  <LinksUpToDate>false</LinksUpToDate>
  <CharactersWithSpaces>4621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2024-01-07T22:13:00Z</dcterms:created>
  <dc:creator>Методический отдел</dc:creator>
  <cp:lastModifiedBy>Ольга Протасенко</cp:lastModifiedBy>
  <cp:lastPrinted>2020-08-28T20:01:00Z</cp:lastPrinted>
  <dcterms:modified xsi:type="dcterms:W3CDTF">2024-05-22T10:05:20Z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