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Силабус навчальної дисципліни</w:t>
      </w:r>
      <w:r>
        <w:rPr>
          <w:b/>
          <w:sz w:val="28"/>
          <w:szCs w:val="28"/>
          <w:lang w:val="uk-UA"/>
        </w:rPr>
        <w:br w:type="textWrapping"/>
      </w:r>
      <w:r>
        <w:rPr>
          <w:bCs/>
          <w:i/>
          <w:iCs/>
          <w:sz w:val="28"/>
          <w:szCs w:val="28"/>
          <w:lang w:val="uk-UA"/>
        </w:rPr>
        <w:t>«В</w:t>
      </w:r>
      <w:bookmarkStart w:id="2" w:name="_GoBack"/>
      <w:bookmarkEnd w:id="2"/>
      <w:r>
        <w:rPr>
          <w:bCs/>
          <w:i/>
          <w:iCs/>
          <w:sz w:val="28"/>
          <w:szCs w:val="28"/>
          <w:lang w:val="uk-UA"/>
        </w:rPr>
        <w:t>ища та прикладна математика</w:t>
      </w:r>
      <w:r>
        <w:rPr>
          <w:bCs/>
          <w:i/>
          <w:iCs/>
          <w:sz w:val="28"/>
          <w:szCs w:val="28"/>
        </w:rPr>
        <w:t>»</w:t>
      </w:r>
    </w:p>
    <w:tbl>
      <w:tblPr>
        <w:tblStyle w:val="4"/>
        <w:tblW w:w="9923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  <w:gridCol w:w="1441"/>
        <w:gridCol w:w="4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Спеціальність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18</w:t>
            </w:r>
            <w:r>
              <w:rPr>
                <w:i/>
                <w:iCs/>
                <w:sz w:val="24"/>
                <w:szCs w:val="24"/>
              </w:rPr>
              <w:t xml:space="preserve">1 </w:t>
            </w:r>
            <w:r>
              <w:rPr>
                <w:i/>
                <w:iCs/>
                <w:sz w:val="24"/>
                <w:szCs w:val="24"/>
                <w:lang w:val="uk-UA"/>
              </w:rPr>
              <w:t>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Освітня програма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Освітній рівень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Перший (бакалаврський) </w:t>
            </w:r>
            <w:r>
              <w:rPr>
                <w:rFonts w:eastAsia="Times New Roman"/>
                <w:i/>
                <w:iCs/>
                <w:sz w:val="24"/>
                <w:szCs w:val="24"/>
                <w:lang w:val="uk-UA"/>
              </w:rPr>
              <w:t>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Статус дисципліни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 xml:space="preserve">Обов’язкова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uk-UA"/>
              </w:rPr>
              <w:t>Мова викладання, навчання та оцінювання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 xml:space="preserve">Українська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Курс / семестр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 Italic" w:hAnsi="Times New Roman Italic" w:cs="Times New Roman Italic"/>
                <w:i/>
                <w:iCs/>
                <w:sz w:val="24"/>
                <w:szCs w:val="24"/>
                <w:lang w:val="uk-UA" w:eastAsia="uk-UA"/>
              </w:rPr>
              <w:t>1 курс, 1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Кількість кредитів ЄКТС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5</w:t>
            </w:r>
            <w:r>
              <w:rPr>
                <w:i/>
                <w:sz w:val="24"/>
                <w:szCs w:val="24"/>
                <w:lang w:val="uk-UA" w:eastAsia="uk-UA"/>
              </w:rPr>
              <w:t xml:space="preserve"> кредитів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>Лекції –</w:t>
            </w:r>
            <w:r>
              <w:rPr>
                <w:sz w:val="24"/>
                <w:szCs w:val="24"/>
                <w:lang w:val="uk-UA" w:eastAsia="uk-UA"/>
              </w:rPr>
              <w:t xml:space="preserve"> 24</w:t>
            </w:r>
            <w:r>
              <w:rPr>
                <w:i/>
                <w:sz w:val="24"/>
                <w:szCs w:val="24"/>
                <w:lang w:val="uk-UA" w:eastAsia="uk-UA"/>
              </w:rPr>
              <w:t xml:space="preserve"> год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 xml:space="preserve">Практичні – </w:t>
            </w:r>
            <w:r>
              <w:rPr>
                <w:sz w:val="24"/>
                <w:szCs w:val="24"/>
                <w:lang w:val="uk-UA" w:eastAsia="uk-UA"/>
              </w:rPr>
              <w:t>12</w:t>
            </w:r>
            <w:r>
              <w:rPr>
                <w:i/>
                <w:sz w:val="24"/>
                <w:szCs w:val="24"/>
                <w:lang w:val="uk-UA" w:eastAsia="uk-UA"/>
              </w:rPr>
              <w:t xml:space="preserve"> год.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 xml:space="preserve">Лабораторні – </w:t>
            </w:r>
            <w:r>
              <w:rPr>
                <w:sz w:val="24"/>
                <w:szCs w:val="24"/>
                <w:lang w:val="uk-UA" w:eastAsia="uk-UA"/>
              </w:rPr>
              <w:t>12</w:t>
            </w:r>
            <w:r>
              <w:rPr>
                <w:i/>
                <w:sz w:val="24"/>
                <w:szCs w:val="24"/>
                <w:lang w:val="uk-UA" w:eastAsia="uk-UA"/>
              </w:rPr>
              <w:t xml:space="preserve"> год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>Самостійна робота – 102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 xml:space="preserve">Форма </w:t>
            </w:r>
            <w:r>
              <w:rPr>
                <w:rFonts w:eastAsia="Times New Roman"/>
                <w:b/>
                <w:sz w:val="24"/>
                <w:szCs w:val="24"/>
              </w:rPr>
              <w:t>семестрового</w:t>
            </w:r>
            <w:r>
              <w:rPr>
                <w:b/>
                <w:iCs/>
                <w:sz w:val="24"/>
                <w:szCs w:val="24"/>
                <w:lang w:val="uk-UA" w:eastAsia="uk-UA"/>
              </w:rPr>
              <w:t xml:space="preserve"> контролю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Екзамен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964" w:hRule="atLeast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Кафедра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Кафедра вищої математики та економіко-математичних методів, ауд. 329 (головний корпус), тел. +38(57)702-04-05, сайт кафедри: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HYPERLINK "http://www.vm.hneu.edu.ua/" </w:instrText>
            </w:r>
            <w:r>
              <w:rPr>
                <w:lang w:val="uk-UA"/>
              </w:rPr>
              <w:fldChar w:fldCharType="separate"/>
            </w:r>
            <w:r>
              <w:rPr>
                <w:rStyle w:val="9"/>
                <w:i/>
                <w:sz w:val="24"/>
                <w:szCs w:val="24"/>
                <w:lang w:val="uk-UA"/>
              </w:rPr>
              <w:t>http://www.vm.hneu.edu.ua/</w:t>
            </w:r>
            <w:r>
              <w:rPr>
                <w:rStyle w:val="9"/>
                <w:i/>
                <w:sz w:val="24"/>
                <w:szCs w:val="24"/>
                <w:lang w:val="uk-UA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Викладач (-і)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/>
              </w:rPr>
              <w:t>Лебедєва Ірина Леонідівна, к. фіз.-мат. н., доцент</w:t>
            </w:r>
          </w:p>
        </w:tc>
        <w:bookmarkStart w:id="0" w:name="_GoBack"/>
      </w:tr>
      <w:bookmarkEnd w:id="0"/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викладача (-ів)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en-US" w:eastAsia="uk-UA"/>
              </w:rPr>
            </w:pPr>
            <w:r>
              <w:rPr>
                <w:i/>
                <w:sz w:val="24"/>
                <w:szCs w:val="24"/>
                <w:lang w:val="en-US"/>
              </w:rPr>
              <w:fldChar w:fldCharType="begin"/>
            </w:r>
            <w:r>
              <w:rPr>
                <w:i/>
                <w:sz w:val="24"/>
                <w:szCs w:val="24"/>
                <w:lang w:val="en-US"/>
              </w:rPr>
              <w:instrText xml:space="preserve"> HYPERLINK "mailto:Iruna.Lebedeva@hneu.net" </w:instrText>
            </w:r>
            <w:r>
              <w:rPr>
                <w:i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9"/>
                <w:i/>
                <w:sz w:val="24"/>
                <w:szCs w:val="24"/>
                <w:lang w:val="en-US"/>
              </w:rPr>
              <w:t>Iruna.Lebedeva@hneu.net</w:t>
            </w:r>
            <w:r>
              <w:rPr>
                <w:i/>
                <w:sz w:val="24"/>
                <w:szCs w:val="24"/>
                <w:lang w:val="en-US"/>
              </w:rPr>
              <w:fldChar w:fldCharType="end"/>
            </w:r>
            <w:r>
              <w:rPr>
                <w:i/>
                <w:sz w:val="24"/>
                <w:szCs w:val="24"/>
              </w:rPr>
              <w:t>, +38097 753 6359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 xml:space="preserve">Дні 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навчальних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Згідно діючого розкладу</w:t>
            </w:r>
            <w:r>
              <w:rPr>
                <w:i/>
                <w:sz w:val="24"/>
                <w:szCs w:val="24"/>
              </w:rPr>
              <w:t xml:space="preserve"> занять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fldChar w:fldCharType="begin"/>
            </w:r>
            <w:r>
              <w:rPr>
                <w:i/>
                <w:sz w:val="24"/>
                <w:szCs w:val="24"/>
                <w:lang w:val="uk-UA" w:eastAsia="uk-UA"/>
              </w:rPr>
              <w:instrText xml:space="preserve"> HYPERLINK "http://rozklad.hneu.edu.ua/schedule/schedule?employee=432166" </w:instrText>
            </w:r>
            <w:r>
              <w:rPr>
                <w:i/>
                <w:sz w:val="24"/>
                <w:szCs w:val="24"/>
                <w:lang w:val="uk-UA" w:eastAsia="uk-UA"/>
              </w:rPr>
              <w:fldChar w:fldCharType="separate"/>
            </w:r>
            <w:r>
              <w:rPr>
                <w:rStyle w:val="9"/>
                <w:i/>
                <w:sz w:val="24"/>
                <w:szCs w:val="24"/>
                <w:lang w:val="uk-UA" w:eastAsia="uk-UA"/>
              </w:rPr>
              <w:t>http://rozklad.hneu.edu.ua/schedule/schedule?employee=432166</w:t>
            </w:r>
            <w:r>
              <w:rPr>
                <w:i/>
                <w:sz w:val="24"/>
                <w:szCs w:val="24"/>
                <w:lang w:val="uk-UA" w:eastAsia="uk-UA"/>
              </w:rPr>
              <w:fldChar w:fldCharType="end"/>
            </w:r>
            <w:r>
              <w:rPr>
                <w:i/>
                <w:sz w:val="24"/>
                <w:szCs w:val="24"/>
                <w:lang w:val="uk-UA" w:eastAsia="uk-UA"/>
              </w:rPr>
              <w:t xml:space="preserve">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3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Консультації</w:t>
            </w:r>
          </w:p>
        </w:tc>
        <w:tc>
          <w:tcPr>
            <w:tcW w:w="6403" w:type="dxa"/>
            <w:gridSpan w:val="2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" w:leftChars="30" w:right="66" w:rightChars="3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На кафедрі </w:t>
            </w:r>
            <w:r>
              <w:rPr>
                <w:i/>
                <w:color w:val="000000"/>
                <w:sz w:val="24"/>
                <w:szCs w:val="24"/>
                <w:lang w:val="uk-UA"/>
              </w:rPr>
              <w:t>вищої математики й економіко-математичних методів</w:t>
            </w:r>
            <w:r>
              <w:rPr>
                <w:i/>
                <w:color w:val="000000"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819" w:hRule="atLeast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Мета </w:t>
            </w:r>
            <w:r>
              <w:rPr>
                <w:bCs/>
                <w:sz w:val="24"/>
                <w:szCs w:val="24"/>
                <w:lang w:val="uk-UA" w:eastAsia="uk-UA"/>
              </w:rPr>
              <w:t>навчальної дисципліни: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Формування цілісної системи теоретичних знань математичного апарату, </w:t>
            </w:r>
            <w:r>
              <w:rPr>
                <w:sz w:val="24"/>
                <w:szCs w:val="24"/>
                <w:lang w:val="uk-UA" w:eastAsia="uk-UA"/>
              </w:rPr>
              <w:t>що допомагає моделювати, аналізувати і вирішувати економічні завдання, допомога в засвоєнні математичних методів, що дають можливість вивчати і прогнозувати процеси і явища зі сфери майбутньої діяльності студентів; розвиток логічного і алгоритмічного мислення, сприяння формуванню вмінь і навиків самостійного аналізу дослідження економічних проблем, розвитку прагнення до наукового пошуку шляхів вдосконалення своєї роботи</w:t>
            </w:r>
            <w:r>
              <w:rPr>
                <w:lang w:val="uk-UA" w:eastAsia="uk-UA"/>
              </w:rPr>
              <w:t>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  <w:bookmarkStart w:id="1" w:name="_Hlk144985419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Структурно-логічна схема вивчення навчальної дисципліни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49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  <w:r>
              <w:rPr>
                <w:rFonts w:eastAsia="Times New Roman"/>
                <w:b/>
                <w:color w:val="000000"/>
                <w:position w:val="-1"/>
                <w:sz w:val="24"/>
                <w:szCs w:val="24"/>
                <w:lang w:val="uk-UA"/>
              </w:rPr>
              <w:t>Пререквізити</w:t>
            </w:r>
          </w:p>
        </w:tc>
        <w:tc>
          <w:tcPr>
            <w:tcW w:w="4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  <w:r>
              <w:rPr>
                <w:rFonts w:eastAsia="Times New Roman"/>
                <w:b/>
                <w:color w:val="000000"/>
                <w:position w:val="-1"/>
                <w:sz w:val="24"/>
                <w:szCs w:val="24"/>
                <w:lang w:val="uk-UA"/>
              </w:rPr>
              <w:t>Постреквізити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49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both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/>
              </w:rPr>
              <w:t>Матеріали курсу математики середньої школи (геометрія, алгебра та початки аналізу)</w:t>
            </w:r>
          </w:p>
        </w:tc>
        <w:tc>
          <w:tcPr>
            <w:tcW w:w="4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Економіка підприємств готельно-ресторанного бізнесу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49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0"/>
                <w:szCs w:val="10"/>
                <w:lang w:val="uk-UA" w:eastAsia="uk-UA"/>
              </w:rPr>
            </w:pPr>
          </w:p>
        </w:tc>
        <w:tc>
          <w:tcPr>
            <w:tcW w:w="4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both"/>
              <w:textAlignment w:val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Менеджмент готельно-ресторанного бізнесу</w:t>
            </w:r>
          </w:p>
        </w:tc>
      </w:tr>
      <w:bookmarkEnd w:id="1"/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i/>
                <w:sz w:val="10"/>
                <w:szCs w:val="10"/>
                <w:lang w:val="uk-UA" w:eastAsia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16"/>
                <w:szCs w:val="16"/>
                <w:lang w:val="uk-UA" w:eastAsia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Зміст навчальної дисципліни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" w:leftChars="30" w:right="66" w:rightChars="30" w:firstLine="426"/>
              <w:jc w:val="both"/>
              <w:textAlignment w:val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Змістовий модуль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</w:rPr>
              <w:t>Лінійна алгебра та функції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Тема 1.</w:t>
            </w:r>
            <w:r>
              <w:rPr>
                <w:sz w:val="24"/>
                <w:szCs w:val="24"/>
                <w:lang w:val="uk-UA" w:eastAsia="uk-UA"/>
              </w:rPr>
              <w:t xml:space="preserve"> Елементи теорії матриць і визначників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 xml:space="preserve">Тема 2. </w:t>
            </w:r>
            <w:r>
              <w:rPr>
                <w:bCs/>
                <w:sz w:val="24"/>
                <w:szCs w:val="24"/>
                <w:lang w:val="uk-UA" w:eastAsia="uk-UA"/>
              </w:rPr>
              <w:t>Загальна теорія систем лінійних алгебраїчних рівнянь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" w:leftChars="30" w:right="66" w:rightChars="30" w:firstLine="0"/>
              <w:textAlignment w:val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Функції та графіки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both"/>
              <w:textAlignment w:val="auto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Тема 4. </w:t>
            </w:r>
            <w:r>
              <w:rPr>
                <w:iCs/>
                <w:sz w:val="24"/>
                <w:szCs w:val="24"/>
                <w:lang w:val="uk-UA" w:eastAsia="uk-UA"/>
              </w:rPr>
              <w:t>Диференціальне числення функцій однієї змінної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5.</w:t>
            </w:r>
            <w:r>
              <w:rPr>
                <w:sz w:val="24"/>
                <w:szCs w:val="24"/>
                <w:lang w:val="uk-UA" w:eastAsia="uk-UA"/>
              </w:rPr>
              <w:t xml:space="preserve"> Основні поняття функції багатьох змінних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 xml:space="preserve">Тема 6. </w:t>
            </w:r>
            <w:r>
              <w:rPr>
                <w:iCs/>
                <w:sz w:val="24"/>
                <w:szCs w:val="24"/>
                <w:lang w:val="uk-UA"/>
              </w:rPr>
              <w:t>Відсотки. Економічні задачі на відсотки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426"/>
              <w:textAlignment w:val="auto"/>
              <w:rPr>
                <w:b/>
                <w:sz w:val="6"/>
                <w:szCs w:val="6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426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Змістовий модуль 2. 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Елементи теорія ймовірностей та математична статистика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7.</w:t>
            </w:r>
            <w:r>
              <w:rPr>
                <w:sz w:val="24"/>
                <w:szCs w:val="24"/>
                <w:lang w:val="uk-UA" w:eastAsia="uk-UA"/>
              </w:rPr>
              <w:t xml:space="preserve"> Основні поняття теорії ймовірностей. Класичне означення ймовірності.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Тема 8.</w:t>
            </w:r>
            <w:r>
              <w:rPr>
                <w:sz w:val="24"/>
                <w:szCs w:val="24"/>
                <w:lang w:val="uk-UA"/>
              </w:rPr>
              <w:t xml:space="preserve"> Умовна ймовірність та поняття про незалежність подій. Формула повної ймовірності. Формула Байєсса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9.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Модель повторних випробувань, схема Бернуллі.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Дискретні випадкові величин, їх  закони розподілу та числові характеристики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10.</w:t>
            </w:r>
            <w:r>
              <w:rPr>
                <w:sz w:val="24"/>
                <w:szCs w:val="24"/>
                <w:lang w:val="uk-UA" w:eastAsia="uk-UA"/>
              </w:rPr>
              <w:t xml:space="preserve"> Неперервна випадкова величина. </w:t>
            </w:r>
            <w:r>
              <w:rPr>
                <w:sz w:val="24"/>
                <w:szCs w:val="24"/>
                <w:lang w:val="uk-UA"/>
              </w:rPr>
              <w:t>Рівномірний, показниковий та нормальний закони розподілу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11.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Основні положення вибіркового методу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Тема 12.</w:t>
            </w:r>
            <w:r>
              <w:rPr>
                <w:sz w:val="24"/>
                <w:szCs w:val="24"/>
                <w:lang w:val="uk-UA"/>
              </w:rPr>
              <w:t xml:space="preserve"> Обробка експертних даних. Статистичні гіпотези, їх перевірка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textAlignment w:val="auto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13. </w:t>
            </w:r>
            <w:r>
              <w:rPr>
                <w:sz w:val="24"/>
                <w:szCs w:val="24"/>
                <w:lang w:val="uk-UA"/>
              </w:rPr>
              <w:t>Елементи кореляційно-регресійного аналізу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076" w:hRule="atLeast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i/>
                <w:sz w:val="10"/>
                <w:szCs w:val="10"/>
                <w:lang w:val="uk-UA" w:eastAsia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Матеріально-технічне (програмне)забезпечення дисципліни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i/>
                <w:sz w:val="24"/>
                <w:szCs w:val="24"/>
                <w:lang w:val="uk-UA"/>
              </w:rPr>
            </w:pPr>
            <w:r>
              <w:rPr>
                <w:rFonts w:eastAsia="Times New Roman"/>
                <w:i/>
                <w:sz w:val="24"/>
                <w:szCs w:val="24"/>
                <w:lang w:val="uk-UA"/>
              </w:rPr>
              <w:t>Мультимедійний проектор, ПНС ХНЕУ ім. С. Кузнеця, ZOOM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rFonts w:eastAsia="Times New Roman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програмне забезпечення: MS Excel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i/>
                <w:sz w:val="24"/>
                <w:szCs w:val="24"/>
                <w:lang w:val="uk-UA"/>
              </w:rPr>
              <w:t>Octave Online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4085" w:hRule="atLeast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Поточний контроль здійснюється під час проведення лекційних, практичних та лабораторних занять і має на меті перевірку рівня підготовленості здобувача вищої освіти до виконання конкретної роботи і оцінюється сумою набраних балів. Максимально можлива кількість балів за поточний контроль упродовж семестру – 60 та мінімально можлива кількість балів – 35.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Підсумковий контроль включає семестровий контроль та </w:t>
            </w:r>
            <w:r>
              <w:rPr>
                <w:sz w:val="24"/>
                <w:szCs w:val="24"/>
                <w:lang w:val="uk-UA" w:eastAsia="uk-UA"/>
              </w:rPr>
              <w:t xml:space="preserve">здійснюють у формі екзамену.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Результат семестрового екзамену оцінюється в балах (максимальна кількість – 40 балів, мінімальна кількість балів, що зараховується, – 25 балів).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Поточний контроль включає наступні контрольні заходи: домашні завдання за темами; лабораторні роботи, поточні контрольні роботи; колоквіуми та виконання самостійного творчого завдання.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20" w:firstLineChars="0"/>
              <w:jc w:val="both"/>
              <w:textAlignment w:val="auto"/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val="uk-UA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247" w:hRule="atLeast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i/>
                <w:sz w:val="16"/>
                <w:szCs w:val="16"/>
                <w:lang w:val="uk-UA" w:eastAsia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/>
              <w:jc w:val="both"/>
              <w:textAlignment w:val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eastAsia="Times New Roman"/>
                <w:sz w:val="24"/>
                <w:szCs w:val="24"/>
                <w:lang w:val="uk-UA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814" w:hRule="atLeast"/>
        </w:trPr>
        <w:tc>
          <w:tcPr>
            <w:tcW w:w="99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6" w:leftChars="30" w:right="66" w:rightChars="30" w:firstLine="250"/>
              <w:jc w:val="both"/>
              <w:textAlignment w:val="auto"/>
              <w:rPr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uk-UA"/>
              </w:rPr>
              <w:t xml:space="preserve">         </w:t>
            </w:r>
            <w:r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Більш детальну інформацію щодо компетентностей, результатів навчання, методів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навчання, форм та методів оцінювання, самостійної роботи наведено у Робочій програмі навчальної дисципліни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</w:tc>
      </w:tr>
    </w:tbl>
    <w:p>
      <w:pPr>
        <w:ind w:firstLine="709"/>
        <w:jc w:val="right"/>
        <w:rPr>
          <w:sz w:val="24"/>
          <w:szCs w:val="24"/>
          <w:lang w:val="uk-UA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134" w:right="1134" w:bottom="1134" w:left="1134" w:header="284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firstLine="1134"/>
      <w:textAlignment w:val="auto"/>
      <w:rPr>
        <w:i/>
        <w:sz w:val="24"/>
        <w:szCs w:val="28"/>
        <w:lang w:val="uk-U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6985</wp:posOffset>
          </wp:positionH>
          <wp:positionV relativeFrom="paragraph">
            <wp:posOffset>-71755</wp:posOffset>
          </wp:positionV>
          <wp:extent cx="662940" cy="591820"/>
          <wp:effectExtent l="0" t="0" r="0" b="1905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rcRect b="9645"/>
                  <a:stretch>
                    <a:fillRect/>
                  </a:stretch>
                </pic:blipFill>
                <pic:spPr>
                  <a:xfrm>
                    <a:off x="0" y="0"/>
                    <a:ext cx="6629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1134"/>
    </w:pPr>
    <w:r>
      <w:rPr>
        <w:i/>
        <w:sz w:val="24"/>
        <w:szCs w:val="28"/>
        <w:lang w:val="uk-UA"/>
      </w:rPr>
      <w:t>Харківський</w:t>
    </w:r>
    <w:r>
      <w:rPr>
        <w:i/>
        <w:sz w:val="24"/>
        <w:szCs w:val="28"/>
        <w:lang w:val="en-US"/>
      </w:rPr>
      <w:t xml:space="preserve"> </w:t>
    </w:r>
    <w:r>
      <w:rPr>
        <w:i/>
        <w:sz w:val="24"/>
        <w:szCs w:val="28"/>
        <w:lang w:val="uk-UA"/>
      </w:rPr>
      <w:t>національний</w:t>
    </w:r>
    <w:r>
      <w:rPr>
        <w:i/>
        <w:sz w:val="24"/>
        <w:szCs w:val="28"/>
        <w:lang w:val="en-US"/>
      </w:rPr>
      <w:t xml:space="preserve"> </w:t>
    </w:r>
    <w:r>
      <w:rPr>
        <w:i/>
        <w:sz w:val="24"/>
        <w:szCs w:val="28"/>
        <w:lang w:val="uk-UA"/>
      </w:rPr>
      <w:t>економічний</w:t>
    </w:r>
    <w:r>
      <w:rPr>
        <w:i/>
        <w:sz w:val="24"/>
        <w:szCs w:val="28"/>
        <w:lang w:val="en-US"/>
      </w:rPr>
      <w:t xml:space="preserve"> </w:t>
    </w:r>
    <w:r>
      <w:rPr>
        <w:i/>
        <w:sz w:val="24"/>
        <w:szCs w:val="28"/>
        <w:lang w:val="uk-UA"/>
      </w:rPr>
      <w:t>університет</w:t>
    </w:r>
    <w:r>
      <w:rPr>
        <w:i/>
        <w:sz w:val="24"/>
        <w:szCs w:val="28"/>
        <w:lang w:val="en-US"/>
      </w:rPr>
      <w:t xml:space="preserve"> </w:t>
    </w:r>
    <w:r>
      <w:rPr>
        <w:i/>
        <w:sz w:val="24"/>
        <w:szCs w:val="28"/>
        <w:lang w:val="uk-UA"/>
      </w:rPr>
      <w:t>імені</w:t>
    </w:r>
    <w:r>
      <w:rPr>
        <w:i/>
        <w:sz w:val="24"/>
        <w:szCs w:val="28"/>
      </w:rPr>
      <w:t xml:space="preserve"> Семена Кузнеця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24"/>
    <w:rsid w:val="0004096A"/>
    <w:rsid w:val="000411A4"/>
    <w:rsid w:val="00051BA4"/>
    <w:rsid w:val="000A0343"/>
    <w:rsid w:val="000B3005"/>
    <w:rsid w:val="000F3C6D"/>
    <w:rsid w:val="00102146"/>
    <w:rsid w:val="001271C5"/>
    <w:rsid w:val="00135FA3"/>
    <w:rsid w:val="0016208B"/>
    <w:rsid w:val="00193D47"/>
    <w:rsid w:val="001E396F"/>
    <w:rsid w:val="00217273"/>
    <w:rsid w:val="00225F0D"/>
    <w:rsid w:val="00230A9A"/>
    <w:rsid w:val="00283A77"/>
    <w:rsid w:val="002934FE"/>
    <w:rsid w:val="002B723B"/>
    <w:rsid w:val="002C78BA"/>
    <w:rsid w:val="002F1EA7"/>
    <w:rsid w:val="002F3C24"/>
    <w:rsid w:val="00307076"/>
    <w:rsid w:val="00307469"/>
    <w:rsid w:val="003640E1"/>
    <w:rsid w:val="003B0137"/>
    <w:rsid w:val="00405AB2"/>
    <w:rsid w:val="00465290"/>
    <w:rsid w:val="0048217C"/>
    <w:rsid w:val="00483E48"/>
    <w:rsid w:val="00487164"/>
    <w:rsid w:val="00491D37"/>
    <w:rsid w:val="0049602B"/>
    <w:rsid w:val="004A3A23"/>
    <w:rsid w:val="004B3459"/>
    <w:rsid w:val="004F5139"/>
    <w:rsid w:val="0050151D"/>
    <w:rsid w:val="005661FE"/>
    <w:rsid w:val="005857BF"/>
    <w:rsid w:val="005A5BC6"/>
    <w:rsid w:val="005E27E3"/>
    <w:rsid w:val="005F6445"/>
    <w:rsid w:val="006012C5"/>
    <w:rsid w:val="00601528"/>
    <w:rsid w:val="006558AF"/>
    <w:rsid w:val="006631B0"/>
    <w:rsid w:val="00671025"/>
    <w:rsid w:val="00671A52"/>
    <w:rsid w:val="0069545A"/>
    <w:rsid w:val="006B2B95"/>
    <w:rsid w:val="00716523"/>
    <w:rsid w:val="00732BA2"/>
    <w:rsid w:val="00732D43"/>
    <w:rsid w:val="00740D3A"/>
    <w:rsid w:val="007432B2"/>
    <w:rsid w:val="00757A28"/>
    <w:rsid w:val="00776A9E"/>
    <w:rsid w:val="00786642"/>
    <w:rsid w:val="00794F4A"/>
    <w:rsid w:val="007A5945"/>
    <w:rsid w:val="007C1B8A"/>
    <w:rsid w:val="007F7BF5"/>
    <w:rsid w:val="00816952"/>
    <w:rsid w:val="00823CA6"/>
    <w:rsid w:val="00825B1D"/>
    <w:rsid w:val="00851D22"/>
    <w:rsid w:val="008A581A"/>
    <w:rsid w:val="008B166B"/>
    <w:rsid w:val="008C0065"/>
    <w:rsid w:val="008D28CC"/>
    <w:rsid w:val="009005F9"/>
    <w:rsid w:val="009155C9"/>
    <w:rsid w:val="009635DC"/>
    <w:rsid w:val="009F5A1B"/>
    <w:rsid w:val="00A171C9"/>
    <w:rsid w:val="00A47792"/>
    <w:rsid w:val="00A716B7"/>
    <w:rsid w:val="00A76E88"/>
    <w:rsid w:val="00AB78CD"/>
    <w:rsid w:val="00AC021D"/>
    <w:rsid w:val="00AF3208"/>
    <w:rsid w:val="00B17598"/>
    <w:rsid w:val="00B37611"/>
    <w:rsid w:val="00B41C7B"/>
    <w:rsid w:val="00B56844"/>
    <w:rsid w:val="00B85838"/>
    <w:rsid w:val="00B970D4"/>
    <w:rsid w:val="00BB58AF"/>
    <w:rsid w:val="00BC6747"/>
    <w:rsid w:val="00BE0B43"/>
    <w:rsid w:val="00BE5AF2"/>
    <w:rsid w:val="00C559B9"/>
    <w:rsid w:val="00C77624"/>
    <w:rsid w:val="00CA4330"/>
    <w:rsid w:val="00CD143F"/>
    <w:rsid w:val="00CD31A8"/>
    <w:rsid w:val="00CE5014"/>
    <w:rsid w:val="00D16264"/>
    <w:rsid w:val="00D337E7"/>
    <w:rsid w:val="00D63206"/>
    <w:rsid w:val="00D70100"/>
    <w:rsid w:val="00D73D63"/>
    <w:rsid w:val="00DC4735"/>
    <w:rsid w:val="00DC5BE3"/>
    <w:rsid w:val="00DF4A3A"/>
    <w:rsid w:val="00E57648"/>
    <w:rsid w:val="00E579B3"/>
    <w:rsid w:val="00E85042"/>
    <w:rsid w:val="00E85662"/>
    <w:rsid w:val="00F46713"/>
    <w:rsid w:val="00F66929"/>
    <w:rsid w:val="00F673EA"/>
    <w:rsid w:val="00FA7559"/>
    <w:rsid w:val="00FB0BD8"/>
    <w:rsid w:val="00FB397E"/>
    <w:rsid w:val="00FD4BBD"/>
    <w:rsid w:val="00FE3883"/>
    <w:rsid w:val="00FE7EA6"/>
    <w:rsid w:val="159F1840"/>
    <w:rsid w:val="AD6F44C0"/>
    <w:rsid w:val="FFEF0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/>
      <w:kern w:val="36"/>
      <w:sz w:val="48"/>
      <w:szCs w:val="48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3"/>
    <w:uiPriority w:val="99"/>
    <w:pPr>
      <w:spacing w:after="0" w:line="312" w:lineRule="auto"/>
      <w:ind w:firstLine="720"/>
      <w:jc w:val="both"/>
    </w:pPr>
    <w:rPr>
      <w:rFonts w:ascii="Arial" w:hAnsi="Arial" w:eastAsia="Times New Roman"/>
      <w:i/>
      <w:sz w:val="28"/>
      <w:szCs w:val="20"/>
      <w:lang w:val="uk-UA" w:eastAsia="ru-RU"/>
    </w:rPr>
  </w:style>
  <w:style w:type="paragraph" w:styleId="6">
    <w:name w:val="Body Text Indent 2"/>
    <w:basedOn w:val="1"/>
    <w:link w:val="14"/>
    <w:unhideWhenUsed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character" w:styleId="9">
    <w:name w:val="Hyperlink"/>
    <w:unhideWhenUsed/>
    <w:uiPriority w:val="99"/>
    <w:rPr>
      <w:color w:val="0000FF"/>
      <w:u w:val="single"/>
    </w:rPr>
  </w:style>
  <w:style w:type="table" w:styleId="10">
    <w:name w:val="Table Grid"/>
    <w:basedOn w:val="4"/>
    <w:uiPriority w:val="39"/>
    <w:pPr>
      <w:spacing w:after="0" w:line="240" w:lineRule="auto"/>
    </w:pPr>
    <w:rPr>
      <w:rFonts w:ascii="Calibri" w:hAnsi="Calibri" w:eastAsia="Calibri" w:cs="Arial"/>
      <w:i/>
      <w:sz w:val="20"/>
      <w:szCs w:val="20"/>
      <w:lang w:val="uk-UA" w:eastAsia="uk-U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1">
    <w:name w:val="Title"/>
    <w:basedOn w:val="1"/>
    <w:link w:val="17"/>
    <w:qFormat/>
    <w:uiPriority w:val="0"/>
    <w:pPr>
      <w:spacing w:after="0" w:line="312" w:lineRule="auto"/>
      <w:jc w:val="center"/>
    </w:pPr>
    <w:rPr>
      <w:rFonts w:ascii="Arial" w:hAnsi="Arial" w:eastAsia="Times New Roman"/>
      <w:b/>
      <w:i/>
      <w:sz w:val="28"/>
      <w:szCs w:val="20"/>
      <w:lang w:val="uk-UA" w:eastAsia="ru-RU"/>
    </w:rPr>
  </w:style>
  <w:style w:type="character" w:customStyle="1" w:styleId="12">
    <w:name w:val="Заголовок 1 Знак"/>
    <w:link w:val="2"/>
    <w:uiPriority w:val="9"/>
    <w:rPr>
      <w:rFonts w:eastAsia="Times New Roman"/>
      <w:b/>
      <w:bCs/>
      <w:i/>
      <w:kern w:val="36"/>
      <w:sz w:val="48"/>
      <w:szCs w:val="48"/>
      <w:lang w:eastAsia="ru-RU"/>
    </w:rPr>
  </w:style>
  <w:style w:type="character" w:customStyle="1" w:styleId="13">
    <w:name w:val="Основной текст с отступом Знак"/>
    <w:link w:val="5"/>
    <w:uiPriority w:val="99"/>
    <w:rPr>
      <w:rFonts w:ascii="Arial" w:hAnsi="Arial" w:eastAsia="Times New Roman"/>
      <w:i/>
      <w:sz w:val="28"/>
      <w:szCs w:val="20"/>
      <w:lang w:val="uk-UA" w:eastAsia="ru-RU"/>
    </w:rPr>
  </w:style>
  <w:style w:type="character" w:customStyle="1" w:styleId="14">
    <w:name w:val="Основной текст с отступом 2 Знак"/>
    <w:basedOn w:val="3"/>
    <w:link w:val="6"/>
    <w:semiHidden/>
    <w:uiPriority w:val="99"/>
  </w:style>
  <w:style w:type="character" w:customStyle="1" w:styleId="15">
    <w:name w:val="Нижний колонтитул Знак"/>
    <w:link w:val="7"/>
    <w:uiPriority w:val="99"/>
    <w:rPr>
      <w:sz w:val="22"/>
      <w:szCs w:val="22"/>
      <w:lang w:val="ru-RU" w:eastAsia="en-US"/>
    </w:rPr>
  </w:style>
  <w:style w:type="character" w:customStyle="1" w:styleId="16">
    <w:name w:val="Верхний колонтитул Знак"/>
    <w:link w:val="8"/>
    <w:uiPriority w:val="99"/>
    <w:rPr>
      <w:sz w:val="22"/>
      <w:szCs w:val="22"/>
      <w:lang w:val="ru-RU" w:eastAsia="en-US"/>
    </w:rPr>
  </w:style>
  <w:style w:type="character" w:customStyle="1" w:styleId="17">
    <w:name w:val="Название Знак"/>
    <w:link w:val="11"/>
    <w:uiPriority w:val="0"/>
    <w:rPr>
      <w:rFonts w:ascii="Arial" w:hAnsi="Arial" w:eastAsia="Times New Roman"/>
      <w:b/>
      <w:i/>
      <w:sz w:val="28"/>
      <w:szCs w:val="20"/>
      <w:lang w:val="uk-UA" w:eastAsia="ru-RU"/>
    </w:rPr>
  </w:style>
  <w:style w:type="paragraph" w:styleId="18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962" w:hanging="360"/>
    </w:pPr>
    <w:rPr>
      <w:rFonts w:eastAsia="Times New Roman"/>
      <w:i/>
      <w:lang w:val="en-US" w:bidi="en-US"/>
    </w:rPr>
  </w:style>
  <w:style w:type="character" w:customStyle="1" w:styleId="19">
    <w:name w:val="Основний текст_"/>
    <w:link w:val="20"/>
    <w:uiPriority w:val="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ий текст"/>
    <w:basedOn w:val="1"/>
    <w:link w:val="19"/>
    <w:uiPriority w:val="0"/>
    <w:pPr>
      <w:shd w:val="clear" w:color="auto" w:fill="FFFFFF"/>
      <w:spacing w:after="0" w:line="322" w:lineRule="exact"/>
    </w:pPr>
    <w:rPr>
      <w:rFonts w:eastAsia="Times New Roman"/>
      <w:sz w:val="27"/>
      <w:szCs w:val="27"/>
    </w:rPr>
  </w:style>
  <w:style w:type="paragraph" w:customStyle="1" w:styleId="21">
    <w:name w:val="Style2"/>
    <w:basedOn w:val="1"/>
    <w:uiPriority w:val="0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eastAsia="Times New Roman"/>
      <w:i/>
      <w:sz w:val="24"/>
      <w:szCs w:val="24"/>
      <w:lang w:eastAsia="ru-RU"/>
    </w:rPr>
  </w:style>
  <w:style w:type="character" w:styleId="22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3277</Words>
  <Characters>1869</Characters>
  <Lines>15</Lines>
  <Paragraphs>10</Paragraphs>
  <TotalTime>1</TotalTime>
  <ScaleCrop>false</ScaleCrop>
  <LinksUpToDate>false</LinksUpToDate>
  <CharactersWithSpaces>5136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2024-05-24T20:36:00Z</dcterms:created>
  <dc:creator>Пользователь</dc:creator>
  <cp:lastModifiedBy>Ольга Протасенко</cp:lastModifiedBy>
  <dcterms:modified xsi:type="dcterms:W3CDTF">2024-05-25T17:00:40Z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