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hint="default" w:ascii="Times New Roman Regular" w:hAnsi="Times New Roman Regular" w:eastAsia="Times New Roman" w:cs="Times New Roman Regular"/>
          <w:bCs/>
          <w:i/>
          <w:iCs/>
          <w:sz w:val="28"/>
          <w:szCs w:val="28"/>
        </w:rPr>
      </w:pPr>
      <w:r>
        <w:rPr>
          <w:rFonts w:hint="default" w:ascii="Times New Roman Regular" w:hAnsi="Times New Roman Regular" w:eastAsia="Times New Roman" w:cs="Times New Roman Regular"/>
          <w:bCs/>
          <w:i/>
          <w:iCs/>
          <w:sz w:val="28"/>
          <w:szCs w:val="28"/>
        </w:rPr>
        <w:t>«Інженерна та комп’ютерна графіка»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 курс, 4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12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заняття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54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864" w:hRule="atLeast"/>
        </w:trP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кібербезпеки та інформаційних технологій, ауд.412 головного корпусу, сайт кафедри: </w:t>
            </w:r>
            <w:r>
              <w:fldChar w:fldCharType="begin"/>
            </w:r>
            <w:r>
              <w:instrText xml:space="preserve"> HYPERLINK "http://www.kafcbit.hneu.edu.ua/"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18"/>
                <w:szCs w:val="24"/>
              </w:rPr>
              <w:t>http://www.kafcbit.hneu.edu.ua/</w:t>
            </w:r>
            <w:r>
              <w:rPr>
                <w:rStyle w:val="17"/>
                <w:rFonts w:ascii="Times New Roman" w:hAnsi="Times New Roman" w:cs="Times New Roman"/>
                <w:i/>
                <w:sz w:val="18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Наливайко Тетяна Тарасівна, к.т.н.,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tetyana.nalivayko@hneu.net</w:t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>
            <w:pPr>
              <w:rPr>
                <w:rStyle w:val="1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  <w:r>
              <w:rPr>
                <w:rStyle w:val="14"/>
              </w:rPr>
              <w:t xml:space="preserve">: </w:t>
            </w:r>
            <w:r>
              <w:fldChar w:fldCharType="begin"/>
            </w:r>
            <w:r>
              <w:instrText xml:space="preserve"> HYPERLINK "http://rozklad.hneu.edu.ua/schedule/schedule?employee=431934&amp;week=34"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"http://rozklad.hneu.edu.ua/schedule/schedule?employee=431934&amp;week=34"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72" w:hRule="atLeast"/>
        </w:trP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19" w:hRule="atLeast"/>
        </w:trPr>
        <w:tc>
          <w:tcPr>
            <w:tcW w:w="9781" w:type="dxa"/>
            <w:gridSpan w:val="2"/>
          </w:tcPr>
          <w:p>
            <w:pPr>
              <w:spacing w:before="72" w:beforeLines="3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навчальної дисципліни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вироблення у здобувача вищої освіти просторового мислення та здібностей до аналізу і синтезу геометричної будови конструкцій та будівель, формування навичок читання та створення конструкторської документації з дотриманням вимог стандартів, ознайомлення із сучасними комп’ютерними засобами створення технічної графіки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480" w:hRule="atLeast"/>
        </w:trPr>
        <w:tc>
          <w:tcPr>
            <w:tcW w:w="9781" w:type="dxa"/>
            <w:gridSpan w:val="2"/>
          </w:tcPr>
          <w:p>
            <w:pPr>
              <w:spacing w:before="72" w:beforeLines="30" w:after="72" w:afterLines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c>
                <w:tcPr>
                  <w:tcW w:w="4838" w:type="dxa"/>
                </w:tcPr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Дипломний проект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443" w:hRule="atLeast"/>
        </w:trPr>
        <w:tc>
          <w:tcPr>
            <w:tcW w:w="9781" w:type="dxa"/>
            <w:gridSpan w:val="2"/>
          </w:tcPr>
          <w:p>
            <w:pPr>
              <w:spacing w:after="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Методи 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роекціювання. Проекціювання точки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Тема 2. Пряма на комплексному кресленні. Інцидентність точки і прямої.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Тема 3. Проекціювання площин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Тема 4. Позиційні та метричні задачі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Тема 5. Методи створення технічних зображень обладнання та будівель.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Тема 6. Побудова плану будівлі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Тема 7. Переріз та фасад будівлі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8. Використання САПР для оформлення конструкторської документації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9. Комп’ютерне моделювання обладнання та будівель у AutoCAD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10.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Технологія інформаційного графічного моделювання. Інтерфейс Revit.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ngsana New">
    <w:altName w:val="苹方-简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-66040</wp:posOffset>
          </wp:positionV>
          <wp:extent cx="632460" cy="57277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8333"/>
                  <a:stretch>
                    <a:fillRect/>
                  </a:stretch>
                </pic:blipFill>
                <pic:spPr>
                  <a:xfrm>
                    <a:off x="0" y="0"/>
                    <a:ext cx="6324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0FEF"/>
    <w:rsid w:val="00034C7F"/>
    <w:rsid w:val="00046991"/>
    <w:rsid w:val="00055274"/>
    <w:rsid w:val="0006034B"/>
    <w:rsid w:val="00070FCF"/>
    <w:rsid w:val="00091A61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14F29"/>
    <w:rsid w:val="00132A33"/>
    <w:rsid w:val="0014658C"/>
    <w:rsid w:val="00156961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A798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B3826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83B3E"/>
    <w:rsid w:val="00890DF5"/>
    <w:rsid w:val="0089259A"/>
    <w:rsid w:val="00894580"/>
    <w:rsid w:val="008A5757"/>
    <w:rsid w:val="008B3878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723B1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47503"/>
    <w:rsid w:val="00B64071"/>
    <w:rsid w:val="00B72914"/>
    <w:rsid w:val="00B76A51"/>
    <w:rsid w:val="00B871C5"/>
    <w:rsid w:val="00B87410"/>
    <w:rsid w:val="00B90389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BF3DF5"/>
    <w:rsid w:val="00C00672"/>
    <w:rsid w:val="00C011C4"/>
    <w:rsid w:val="00C14988"/>
    <w:rsid w:val="00C14D5C"/>
    <w:rsid w:val="00C16598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03756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4BFE85D8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  <w:rsid w:val="8CCDF8E5"/>
    <w:rsid w:val="B7F970D5"/>
    <w:rsid w:val="BDAF8DB5"/>
    <w:rsid w:val="BFBB475B"/>
    <w:rsid w:val="BFEEA06A"/>
    <w:rsid w:val="DD9DF1F0"/>
    <w:rsid w:val="E6DFFBA8"/>
    <w:rsid w:val="EEF7BE7B"/>
    <w:rsid w:val="F77B0A08"/>
    <w:rsid w:val="FF7A707C"/>
    <w:rsid w:val="FF7F1C25"/>
    <w:rsid w:val="FFEE1EBF"/>
    <w:rsid w:val="FFEF0511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о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о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ечания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ечания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и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и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Заголовок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597</Words>
  <Characters>3409</Characters>
  <Lines>28</Lines>
  <Paragraphs>7</Paragraphs>
  <TotalTime>1</TotalTime>
  <ScaleCrop>false</ScaleCrop>
  <LinksUpToDate>false</LinksUpToDate>
  <CharactersWithSpaces>3999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2024-05-21T14:50:00Z</dcterms:created>
  <dc:creator>Методический отдел</dc:creator>
  <cp:lastModifiedBy>Ольга Протасенко</cp:lastModifiedBy>
  <cp:lastPrinted>2020-08-28T20:01:00Z</cp:lastPrinted>
  <dcterms:modified xsi:type="dcterms:W3CDTF">2024-05-21T21:14:17Z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